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u w:val="single"/>
        </w:rPr>
      </w:pPr>
      <w:r w:rsidDel="00000000" w:rsidR="00000000" w:rsidRPr="00000000">
        <w:rPr>
          <w:b w:val="1"/>
          <w:u w:val="single"/>
          <w:rtl w:val="0"/>
        </w:rPr>
        <w:t xml:space="preserve">Alternative Approach for the "Additional Task Force Member Perspectives and Expectations" Section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i w:val="1"/>
          <w:rtl w:val="0"/>
        </w:rPr>
        <w:t xml:space="preserve">The text below is an example of a potential alternative approach to the "Additional Task Force Member Perspectives and Expectations" section. Essentially, instead of deleting much of the text describing the perspective of members who most support dam removal, we could keep this text and give equal space to the perspective of members who most support dredging. The added text below pulls from some of the prior text as well as comments and perspectives shared by specific Task Force members. It would be important for these members to adjust this language to make sure it accurately represents what they would want to say.</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Some members believe it is important for this report to highlight elements of the Task Force’s information gathering and deliberation that point to the benefits of dam removal. These members point to the written survey that Task Force members completed during the deliberation phase of their work and note that recurring management was the top ranked option for seven Task Force members, dam removal was the top recommendation for four Task Force members, and dredging was not the top ranked option for any Task Force members. In addition, these members note that 1) Task Force members weighted ecological sustainability in their survey responses on average as the most important or relevant criterion for evaluating options for the pond system, and 2) the Task Force’s interim report characterized dam removal and stream restoration as the most ecologically beneficial solution at Warners Pond. Specifically, the interim report noted: “A restored stream and wetland system, as would be produced by removing the dam, can claim to offer the most diversity of wildlife.”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These members also note that the Task Force heard from several environmental professionals and conservation organizations that dam removal and stream restoration would be best for the environment, specifically:</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Joe Gould, Ecological Restoration Specialist (DER), who noted that DER prioritizes dam removal — along with culverts, cranberry bogs, and saltmarshes — because it's one of the very best things we can do for biodiversity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Steven Mattocks (DFG), Aquatic Connectivity and Fisheries Outreach Biologist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Ben Wetherill of OARS (presentation) and OARS staff (public comment). OARS is a watershed organization representing over 300 Concord members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Concord Land Conservation Trust trustees, direct abutter to Warner's Pond and representing 500 households (via a public comment form)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Wild &amp; Scenic River Stewardship Council (via a public comment form and video)</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Bryan Windmiller, Director of Field Conservation, Zoo New England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David Swain, professor of field ornithology at Southern NH University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Some other members believe it is important for this report to highlight other elements of the Task Force’s information gathering and deliberation that point to the benefits of dredging. These members suggest that the full survey results — including members’ written explanations — provide important context about each member’s perspective. For example, some members who supported dredging over the long-term decided it was preferable to start with recurring management as a way to build alignment on a pathway forward. If future decision-makers decide to use these survey results to guide their thinking about the future of the pond, they should review the results in their entirety. Likewise, the criteria weighting exercise in the survey was approached differently by different individual members, with an explicit understanding that the Task Force would not be engaging in a formal collective “weighting” exercise when making decisions. On the contrary, these members note that the Task Force was charged with considering the full range of criteria in the Envision Concord long-term plan and all five of these criteria were fundamental to the Task Force’s decision-making. In addition, the interim “Alternatives Under Consideration” report contains a range of data and observations about each of the different alternatives regarding their relationship to the history and character of the area, ecological impacts, recreational impacts, costs, and uncertainties, among other factors. Specific language across all sections of the report was carefully vetted and agreed to by Task Force members after substantial deliberation, and the interim report should be considered in its entirety during future decision-making.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These members also note that the Task Force did not invite a pond management company representative to a Task Force meeting to discuss opportunities for more effective management actions, and that all voices of the public should be taken into account in evaluating options for the pond, not just those of selected environmental organizations (many of whose comments were never discussed or alluded to during Task Force meetings). These members suggest that the full public deliberation suggests there is significant public opposition to dam removal, and overwhelming opposition among members of the public who regularly engage with the pond.</w:t>
      </w:r>
    </w:p>
    <w:p w:rsidR="00000000" w:rsidDel="00000000" w:rsidP="00000000" w:rsidRDefault="00000000" w:rsidRPr="00000000" w14:paraId="00000014">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672B5A5F8744F9D69256B09464220" ma:contentTypeVersion="18" ma:contentTypeDescription="Create a new document." ma:contentTypeScope="" ma:versionID="0d145f9675466e42a77d40336b803e64">
  <xsd:schema xmlns:xsd="http://www.w3.org/2001/XMLSchema" xmlns:xs="http://www.w3.org/2001/XMLSchema" xmlns:p="http://schemas.microsoft.com/office/2006/metadata/properties" xmlns:ns1="http://schemas.microsoft.com/sharepoint/v3" xmlns:ns2="5a95b069-a164-4203-ae0b-9509c92a48fc" xmlns:ns3="488e5faa-5485-47e4-801e-7bae68f252b2" targetNamespace="http://schemas.microsoft.com/office/2006/metadata/properties" ma:root="true" ma:fieldsID="984a42218dc2fe70078eb50218916b30" ns1:_="" ns2:_="" ns3:_="">
    <xsd:import namespace="http://schemas.microsoft.com/sharepoint/v3"/>
    <xsd:import namespace="5a95b069-a164-4203-ae0b-9509c92a48fc"/>
    <xsd:import namespace="488e5faa-5485-47e4-801e-7bae68f252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5b069-a164-4203-ae0b-9509c92a4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e5faa-5485-47e4-801e-7bae68f252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4852cc0-6800-4083-b768-19eae321c214}" ma:internalName="TaxCatchAll" ma:showField="CatchAllData" ma:web="488e5faa-5485-47e4-801e-7bae68f25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88e5faa-5485-47e4-801e-7bae68f252b2" xsi:nil="true"/>
    <_ip_UnifiedCompliancePolicyProperties xmlns="http://schemas.microsoft.com/sharepoint/v3" xsi:nil="true"/>
    <lcf76f155ced4ddcb4097134ff3c332f xmlns="5a95b069-a164-4203-ae0b-9509c92a48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2F6B2-E2FE-4860-B88B-789051B7AD35}"/>
</file>

<file path=customXml/itemProps2.xml><?xml version="1.0" encoding="utf-8"?>
<ds:datastoreItem xmlns:ds="http://schemas.openxmlformats.org/officeDocument/2006/customXml" ds:itemID="{75491771-E849-4DB5-8693-048EEAFC5B58}"/>
</file>

<file path=customXml/itemProps3.xml><?xml version="1.0" encoding="utf-8"?>
<ds:datastoreItem xmlns:ds="http://schemas.openxmlformats.org/officeDocument/2006/customXml" ds:itemID="{D4763505-0705-4AD7-9EB4-D1C80F06D8C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0x010100207672B5A5F8744F9D69256B09464220</vt:lpwstr>
  </property>
</Properties>
</file>