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29" w:rsidRDefault="009F7229">
      <w:pPr>
        <w:pStyle w:val="Title"/>
        <w:rPr>
          <w:sz w:val="26"/>
          <w:szCs w:val="26"/>
        </w:rPr>
      </w:pPr>
      <w:bookmarkStart w:id="0" w:name="_GoBack"/>
      <w:bookmarkEnd w:id="0"/>
    </w:p>
    <w:p w:rsidR="003F26D4" w:rsidRPr="009B6E0D" w:rsidRDefault="003F26D4">
      <w:pPr>
        <w:pStyle w:val="Title"/>
        <w:rPr>
          <w:sz w:val="26"/>
          <w:szCs w:val="26"/>
        </w:rPr>
      </w:pPr>
    </w:p>
    <w:p w:rsidR="00B61764" w:rsidRPr="009B6E0D" w:rsidRDefault="00B61764">
      <w:pPr>
        <w:pStyle w:val="Title"/>
        <w:rPr>
          <w:sz w:val="26"/>
          <w:szCs w:val="26"/>
        </w:rPr>
      </w:pPr>
    </w:p>
    <w:p w:rsidR="009F7229" w:rsidRPr="009B6E0D" w:rsidRDefault="009F7229">
      <w:pPr>
        <w:pStyle w:val="Title"/>
        <w:rPr>
          <w:sz w:val="29"/>
          <w:szCs w:val="29"/>
        </w:rPr>
      </w:pPr>
    </w:p>
    <w:p w:rsidR="009F7229" w:rsidRPr="009B6E0D" w:rsidRDefault="00D61805">
      <w:pPr>
        <w:pStyle w:val="Title"/>
        <w:rPr>
          <w:b/>
          <w:sz w:val="36"/>
          <w:szCs w:val="36"/>
        </w:rPr>
      </w:pPr>
      <w:r w:rsidRPr="009B6E0D">
        <w:rPr>
          <w:b/>
          <w:sz w:val="36"/>
          <w:szCs w:val="36"/>
        </w:rPr>
        <w:t>TAX RATE ANALYSIS</w:t>
      </w:r>
    </w:p>
    <w:p w:rsidR="009F7229" w:rsidRPr="009B6E0D" w:rsidRDefault="00264225">
      <w:pPr>
        <w:pStyle w:val="Subtitle"/>
        <w:rPr>
          <w:b/>
          <w:szCs w:val="36"/>
        </w:rPr>
      </w:pPr>
      <w:r w:rsidRPr="009B6E0D">
        <w:rPr>
          <w:b/>
          <w:szCs w:val="36"/>
        </w:rPr>
        <w:t xml:space="preserve">Fiscal Year </w:t>
      </w:r>
      <w:r w:rsidR="003F15F5" w:rsidRPr="009B6E0D">
        <w:rPr>
          <w:b/>
          <w:szCs w:val="36"/>
        </w:rPr>
        <w:t>201</w:t>
      </w:r>
      <w:r w:rsidR="00E200A4">
        <w:rPr>
          <w:b/>
          <w:szCs w:val="36"/>
        </w:rPr>
        <w:t>8</w:t>
      </w:r>
    </w:p>
    <w:p w:rsidR="009F7229" w:rsidRPr="009B6E0D" w:rsidRDefault="009F7229">
      <w:pPr>
        <w:jc w:val="center"/>
        <w:rPr>
          <w:sz w:val="23"/>
          <w:szCs w:val="23"/>
        </w:rPr>
      </w:pPr>
    </w:p>
    <w:p w:rsidR="009F7229" w:rsidRPr="009B6E0D" w:rsidRDefault="009F7229">
      <w:pPr>
        <w:jc w:val="center"/>
        <w:rPr>
          <w:sz w:val="23"/>
          <w:szCs w:val="23"/>
        </w:rPr>
      </w:pPr>
    </w:p>
    <w:p w:rsidR="009F7229" w:rsidRPr="009B6E0D" w:rsidRDefault="009F7229">
      <w:pPr>
        <w:jc w:val="center"/>
        <w:rPr>
          <w:sz w:val="23"/>
          <w:szCs w:val="23"/>
        </w:rPr>
      </w:pPr>
    </w:p>
    <w:p w:rsidR="009F7229" w:rsidRPr="009B6E0D" w:rsidRDefault="009F7229">
      <w:pPr>
        <w:jc w:val="center"/>
        <w:rPr>
          <w:sz w:val="23"/>
          <w:szCs w:val="23"/>
        </w:rPr>
      </w:pPr>
    </w:p>
    <w:p w:rsidR="009F7229" w:rsidRPr="009B6E0D" w:rsidRDefault="009F7229">
      <w:pPr>
        <w:pStyle w:val="Heading1"/>
        <w:rPr>
          <w:b/>
          <w:sz w:val="26"/>
          <w:szCs w:val="26"/>
        </w:rPr>
      </w:pPr>
      <w:r w:rsidRPr="009B6E0D">
        <w:rPr>
          <w:b/>
          <w:sz w:val="26"/>
          <w:szCs w:val="26"/>
        </w:rPr>
        <w:t xml:space="preserve">Report of the </w:t>
      </w:r>
    </w:p>
    <w:p w:rsidR="009F7229" w:rsidRPr="009B6E0D" w:rsidRDefault="009F7229">
      <w:pPr>
        <w:pStyle w:val="Heading2"/>
        <w:rPr>
          <w:b/>
          <w:sz w:val="26"/>
          <w:szCs w:val="26"/>
        </w:rPr>
      </w:pPr>
      <w:smartTag w:uri="urn:schemas-microsoft-com:office:smarttags" w:element="place">
        <w:smartTag w:uri="urn:schemas-microsoft-com:office:smarttags" w:element="City">
          <w:r w:rsidRPr="009B6E0D">
            <w:rPr>
              <w:b/>
              <w:sz w:val="26"/>
              <w:szCs w:val="26"/>
            </w:rPr>
            <w:t>Concord</w:t>
          </w:r>
        </w:smartTag>
      </w:smartTag>
      <w:r w:rsidRPr="009B6E0D">
        <w:rPr>
          <w:b/>
          <w:sz w:val="26"/>
          <w:szCs w:val="26"/>
        </w:rPr>
        <w:t xml:space="preserve"> Board of Assessors</w:t>
      </w:r>
    </w:p>
    <w:p w:rsidR="009F7229" w:rsidRPr="009B6E0D" w:rsidRDefault="009F7229">
      <w:pPr>
        <w:jc w:val="center"/>
        <w:rPr>
          <w:sz w:val="21"/>
          <w:szCs w:val="21"/>
        </w:rPr>
      </w:pPr>
    </w:p>
    <w:p w:rsidR="00A977E3" w:rsidRPr="009B6E0D" w:rsidRDefault="00A977E3">
      <w:pPr>
        <w:jc w:val="center"/>
        <w:rPr>
          <w:sz w:val="21"/>
          <w:szCs w:val="21"/>
        </w:rPr>
      </w:pPr>
    </w:p>
    <w:p w:rsidR="00144CF3" w:rsidRDefault="00E200A4" w:rsidP="00144CF3">
      <w:pPr>
        <w:jc w:val="center"/>
        <w:rPr>
          <w:sz w:val="21"/>
          <w:szCs w:val="21"/>
        </w:rPr>
      </w:pPr>
      <w:r>
        <w:rPr>
          <w:sz w:val="21"/>
          <w:szCs w:val="21"/>
        </w:rPr>
        <w:t>Jim Sommer</w:t>
      </w:r>
      <w:r w:rsidR="00144CF3">
        <w:rPr>
          <w:sz w:val="21"/>
          <w:szCs w:val="21"/>
        </w:rPr>
        <w:t>, Chair</w:t>
      </w:r>
    </w:p>
    <w:p w:rsidR="00D37073" w:rsidRPr="009B6E0D" w:rsidRDefault="004E72A0" w:rsidP="00D37073">
      <w:pPr>
        <w:jc w:val="center"/>
        <w:rPr>
          <w:sz w:val="21"/>
          <w:szCs w:val="21"/>
        </w:rPr>
      </w:pPr>
      <w:r>
        <w:rPr>
          <w:sz w:val="21"/>
          <w:szCs w:val="21"/>
        </w:rPr>
        <w:t>C</w:t>
      </w:r>
      <w:r w:rsidR="00E200A4">
        <w:rPr>
          <w:sz w:val="21"/>
          <w:szCs w:val="21"/>
        </w:rPr>
        <w:t>hristian Fisher</w:t>
      </w:r>
      <w:r w:rsidR="00D37073" w:rsidRPr="009B6E0D">
        <w:rPr>
          <w:sz w:val="21"/>
          <w:szCs w:val="21"/>
        </w:rPr>
        <w:t xml:space="preserve">, </w:t>
      </w:r>
      <w:r w:rsidR="00144CF3">
        <w:rPr>
          <w:sz w:val="21"/>
          <w:szCs w:val="21"/>
        </w:rPr>
        <w:t xml:space="preserve">Vice </w:t>
      </w:r>
      <w:r w:rsidR="00D37073" w:rsidRPr="009B6E0D">
        <w:rPr>
          <w:sz w:val="21"/>
          <w:szCs w:val="21"/>
        </w:rPr>
        <w:t xml:space="preserve">Chair </w:t>
      </w:r>
    </w:p>
    <w:p w:rsidR="00BA29F7" w:rsidRPr="009B6E0D" w:rsidRDefault="00E200A4" w:rsidP="00F10B5F">
      <w:pPr>
        <w:jc w:val="center"/>
        <w:rPr>
          <w:sz w:val="21"/>
          <w:szCs w:val="21"/>
        </w:rPr>
      </w:pPr>
      <w:r>
        <w:rPr>
          <w:sz w:val="21"/>
          <w:szCs w:val="21"/>
        </w:rPr>
        <w:t>Cynthia Rainey</w:t>
      </w:r>
    </w:p>
    <w:p w:rsidR="009F7229" w:rsidRPr="009B6E0D" w:rsidRDefault="00E200A4">
      <w:pPr>
        <w:jc w:val="center"/>
        <w:rPr>
          <w:sz w:val="21"/>
          <w:szCs w:val="21"/>
        </w:rPr>
      </w:pPr>
      <w:r>
        <w:rPr>
          <w:sz w:val="21"/>
          <w:szCs w:val="21"/>
        </w:rPr>
        <w:t>Tom Matthews</w:t>
      </w:r>
    </w:p>
    <w:p w:rsidR="00D37073" w:rsidRPr="009B6E0D" w:rsidRDefault="00E200A4" w:rsidP="00AB1950">
      <w:pPr>
        <w:jc w:val="center"/>
        <w:rPr>
          <w:sz w:val="21"/>
          <w:szCs w:val="21"/>
        </w:rPr>
      </w:pPr>
      <w:r>
        <w:rPr>
          <w:sz w:val="21"/>
          <w:szCs w:val="21"/>
        </w:rPr>
        <w:t>Andrea Okie</w:t>
      </w:r>
    </w:p>
    <w:p w:rsidR="009F7229" w:rsidRPr="009B6E0D" w:rsidRDefault="009F7229">
      <w:pPr>
        <w:jc w:val="center"/>
        <w:rPr>
          <w:sz w:val="21"/>
          <w:szCs w:val="21"/>
        </w:rPr>
      </w:pPr>
    </w:p>
    <w:p w:rsidR="00802D5D" w:rsidRPr="009B6E0D" w:rsidRDefault="00802D5D">
      <w:pPr>
        <w:jc w:val="center"/>
        <w:rPr>
          <w:sz w:val="21"/>
          <w:szCs w:val="21"/>
        </w:rPr>
      </w:pPr>
    </w:p>
    <w:p w:rsidR="00802D5D" w:rsidRPr="009B6E0D" w:rsidRDefault="00802D5D">
      <w:pPr>
        <w:jc w:val="center"/>
        <w:rPr>
          <w:sz w:val="21"/>
          <w:szCs w:val="21"/>
        </w:rPr>
      </w:pPr>
    </w:p>
    <w:p w:rsidR="009F7229" w:rsidRPr="009B6E0D" w:rsidRDefault="009F7229">
      <w:pPr>
        <w:jc w:val="center"/>
        <w:rPr>
          <w:sz w:val="21"/>
          <w:szCs w:val="21"/>
        </w:rPr>
      </w:pPr>
    </w:p>
    <w:p w:rsidR="009F7229" w:rsidRPr="009B6E0D" w:rsidRDefault="009F7229">
      <w:pPr>
        <w:jc w:val="center"/>
        <w:rPr>
          <w:b/>
          <w:sz w:val="26"/>
          <w:szCs w:val="26"/>
        </w:rPr>
      </w:pPr>
      <w:r w:rsidRPr="009B6E0D">
        <w:rPr>
          <w:b/>
          <w:sz w:val="26"/>
          <w:szCs w:val="26"/>
        </w:rPr>
        <w:t>To</w:t>
      </w:r>
    </w:p>
    <w:p w:rsidR="009F7229" w:rsidRPr="009B6E0D" w:rsidRDefault="009F7229">
      <w:pPr>
        <w:jc w:val="center"/>
        <w:rPr>
          <w:b/>
          <w:sz w:val="26"/>
          <w:szCs w:val="26"/>
        </w:rPr>
      </w:pPr>
    </w:p>
    <w:p w:rsidR="009F7229" w:rsidRPr="009B6E0D" w:rsidRDefault="009F7229">
      <w:pPr>
        <w:pStyle w:val="Heading3"/>
        <w:rPr>
          <w:b/>
          <w:sz w:val="26"/>
          <w:szCs w:val="26"/>
        </w:rPr>
      </w:pPr>
      <w:r w:rsidRPr="009B6E0D">
        <w:rPr>
          <w:b/>
          <w:sz w:val="26"/>
          <w:szCs w:val="26"/>
        </w:rPr>
        <w:t xml:space="preserve">Concord </w:t>
      </w:r>
      <w:r w:rsidR="000A1F07">
        <w:rPr>
          <w:b/>
          <w:sz w:val="26"/>
          <w:szCs w:val="26"/>
        </w:rPr>
        <w:t xml:space="preserve">Select </w:t>
      </w:r>
      <w:r w:rsidRPr="009B6E0D">
        <w:rPr>
          <w:b/>
          <w:sz w:val="26"/>
          <w:szCs w:val="26"/>
        </w:rPr>
        <w:t>Board</w:t>
      </w:r>
    </w:p>
    <w:p w:rsidR="009F7229" w:rsidRPr="009B6E0D" w:rsidRDefault="009F7229">
      <w:pPr>
        <w:jc w:val="center"/>
        <w:rPr>
          <w:sz w:val="23"/>
          <w:szCs w:val="23"/>
        </w:rPr>
      </w:pPr>
    </w:p>
    <w:p w:rsidR="009F7229" w:rsidRPr="009B6E0D" w:rsidRDefault="009F7229">
      <w:pPr>
        <w:pStyle w:val="Heading1"/>
        <w:rPr>
          <w:sz w:val="17"/>
          <w:szCs w:val="17"/>
        </w:rPr>
      </w:pPr>
    </w:p>
    <w:p w:rsidR="009F7229" w:rsidRPr="009B6E0D" w:rsidRDefault="009F7229">
      <w:pPr>
        <w:pStyle w:val="Heading1"/>
        <w:rPr>
          <w:sz w:val="17"/>
          <w:szCs w:val="17"/>
        </w:rPr>
      </w:pPr>
    </w:p>
    <w:p w:rsidR="009F7229" w:rsidRPr="009B6E0D" w:rsidRDefault="009F7229">
      <w:pPr>
        <w:rPr>
          <w:sz w:val="14"/>
          <w:szCs w:val="14"/>
        </w:rPr>
      </w:pPr>
    </w:p>
    <w:p w:rsidR="009F7229" w:rsidRPr="009B6E0D" w:rsidRDefault="009F7229">
      <w:pPr>
        <w:pStyle w:val="Heading1"/>
        <w:rPr>
          <w:sz w:val="26"/>
          <w:szCs w:val="26"/>
        </w:rPr>
      </w:pPr>
      <w:r w:rsidRPr="009B6E0D">
        <w:rPr>
          <w:sz w:val="26"/>
          <w:szCs w:val="26"/>
        </w:rPr>
        <w:t>F</w:t>
      </w:r>
      <w:r w:rsidR="00264225" w:rsidRPr="009B6E0D">
        <w:rPr>
          <w:sz w:val="26"/>
          <w:szCs w:val="26"/>
        </w:rPr>
        <w:t xml:space="preserve">or </w:t>
      </w:r>
      <w:r w:rsidR="008E144C" w:rsidRPr="009B6E0D">
        <w:rPr>
          <w:sz w:val="26"/>
          <w:szCs w:val="26"/>
        </w:rPr>
        <w:t>P</w:t>
      </w:r>
      <w:r w:rsidR="00264225" w:rsidRPr="009B6E0D">
        <w:rPr>
          <w:sz w:val="26"/>
          <w:szCs w:val="26"/>
        </w:rPr>
        <w:t xml:space="preserve">ublic </w:t>
      </w:r>
      <w:r w:rsidR="008E144C" w:rsidRPr="009B6E0D">
        <w:rPr>
          <w:sz w:val="26"/>
          <w:szCs w:val="26"/>
        </w:rPr>
        <w:t>H</w:t>
      </w:r>
      <w:r w:rsidR="00E75792" w:rsidRPr="009B6E0D">
        <w:rPr>
          <w:sz w:val="26"/>
          <w:szCs w:val="26"/>
        </w:rPr>
        <w:t xml:space="preserve">earing on </w:t>
      </w:r>
      <w:r w:rsidR="003F15F5" w:rsidRPr="009B6E0D">
        <w:rPr>
          <w:sz w:val="26"/>
          <w:szCs w:val="26"/>
        </w:rPr>
        <w:t>November 1</w:t>
      </w:r>
      <w:r w:rsidR="00B67F25">
        <w:rPr>
          <w:sz w:val="26"/>
          <w:szCs w:val="26"/>
        </w:rPr>
        <w:t>3</w:t>
      </w:r>
      <w:r w:rsidR="00B61764" w:rsidRPr="009B6E0D">
        <w:rPr>
          <w:sz w:val="26"/>
          <w:szCs w:val="26"/>
        </w:rPr>
        <w:t xml:space="preserve">, </w:t>
      </w:r>
      <w:r w:rsidR="004A5913">
        <w:rPr>
          <w:sz w:val="26"/>
          <w:szCs w:val="26"/>
        </w:rPr>
        <w:t>201</w:t>
      </w:r>
      <w:r w:rsidR="00B67F25">
        <w:rPr>
          <w:sz w:val="26"/>
          <w:szCs w:val="26"/>
        </w:rPr>
        <w:t>7</w:t>
      </w:r>
    </w:p>
    <w:p w:rsidR="009F7229" w:rsidRPr="009B6E0D" w:rsidRDefault="009F7229">
      <w:pPr>
        <w:jc w:val="center"/>
        <w:rPr>
          <w:sz w:val="17"/>
          <w:szCs w:val="17"/>
        </w:rPr>
      </w:pPr>
    </w:p>
    <w:p w:rsidR="009F7229" w:rsidRPr="009B6E0D" w:rsidRDefault="009F7229">
      <w:pPr>
        <w:jc w:val="center"/>
        <w:rPr>
          <w:sz w:val="17"/>
          <w:szCs w:val="17"/>
        </w:rPr>
      </w:pPr>
    </w:p>
    <w:p w:rsidR="009F7229" w:rsidRPr="009B6E0D" w:rsidRDefault="009F7229">
      <w:pPr>
        <w:jc w:val="center"/>
        <w:rPr>
          <w:sz w:val="17"/>
          <w:szCs w:val="17"/>
        </w:rPr>
      </w:pPr>
    </w:p>
    <w:p w:rsidR="009F7229" w:rsidRPr="009B6E0D" w:rsidRDefault="009F7229">
      <w:pPr>
        <w:jc w:val="center"/>
        <w:rPr>
          <w:sz w:val="17"/>
          <w:szCs w:val="17"/>
        </w:rPr>
      </w:pPr>
    </w:p>
    <w:p w:rsidR="009F7229" w:rsidRPr="009B6E0D" w:rsidRDefault="009F7229">
      <w:pPr>
        <w:jc w:val="center"/>
        <w:rPr>
          <w:sz w:val="17"/>
          <w:szCs w:val="17"/>
        </w:rPr>
      </w:pPr>
    </w:p>
    <w:p w:rsidR="009F7229" w:rsidRPr="009B6E0D" w:rsidRDefault="009F7229">
      <w:pPr>
        <w:jc w:val="center"/>
        <w:rPr>
          <w:sz w:val="17"/>
          <w:szCs w:val="17"/>
        </w:rPr>
      </w:pPr>
    </w:p>
    <w:p w:rsidR="009F7229" w:rsidRDefault="009F7229">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Default="00E41A26">
      <w:pPr>
        <w:jc w:val="center"/>
        <w:rPr>
          <w:sz w:val="19"/>
          <w:szCs w:val="19"/>
        </w:rPr>
      </w:pPr>
    </w:p>
    <w:p w:rsidR="00E41A26" w:rsidRPr="009B6E0D" w:rsidRDefault="00E41A26">
      <w:pPr>
        <w:jc w:val="center"/>
        <w:rPr>
          <w:sz w:val="19"/>
          <w:szCs w:val="19"/>
        </w:rPr>
      </w:pPr>
    </w:p>
    <w:p w:rsidR="00F87B5C" w:rsidRPr="009B6E0D" w:rsidRDefault="00D301DA">
      <w:pPr>
        <w:jc w:val="center"/>
        <w:rPr>
          <w:sz w:val="17"/>
          <w:szCs w:val="17"/>
        </w:rPr>
      </w:pPr>
      <w:r w:rsidRPr="009B6E0D">
        <w:rPr>
          <w:sz w:val="17"/>
          <w:szCs w:val="17"/>
        </w:rPr>
        <w:br w:type="page"/>
      </w:r>
    </w:p>
    <w:p w:rsidR="009F7229" w:rsidRPr="009B6E0D" w:rsidRDefault="009F7229" w:rsidP="00A447F8">
      <w:pPr>
        <w:rPr>
          <w:sz w:val="17"/>
          <w:szCs w:val="17"/>
        </w:rPr>
      </w:pPr>
    </w:p>
    <w:p w:rsidR="009F7229" w:rsidRPr="009B6E0D" w:rsidRDefault="00F87B5C" w:rsidP="00A447F8">
      <w:pPr>
        <w:pStyle w:val="Heading4"/>
        <w:jc w:val="center"/>
        <w:rPr>
          <w:b/>
          <w:sz w:val="23"/>
          <w:szCs w:val="23"/>
        </w:rPr>
      </w:pPr>
      <w:r w:rsidRPr="009B6E0D">
        <w:rPr>
          <w:b/>
          <w:sz w:val="23"/>
          <w:szCs w:val="23"/>
        </w:rPr>
        <w:t>Table of Contents</w:t>
      </w:r>
    </w:p>
    <w:p w:rsidR="009F7229" w:rsidRPr="00887CC9" w:rsidRDefault="009F7229" w:rsidP="00A447F8">
      <w:pPr>
        <w:pStyle w:val="Heading4"/>
        <w:rPr>
          <w:sz w:val="20"/>
        </w:rPr>
      </w:pPr>
    </w:p>
    <w:p w:rsidR="009F7229" w:rsidRPr="00887CC9" w:rsidRDefault="009F7229" w:rsidP="00F87B5C">
      <w:pPr>
        <w:pStyle w:val="Heading4"/>
        <w:ind w:left="720"/>
        <w:rPr>
          <w:sz w:val="20"/>
        </w:rPr>
      </w:pPr>
    </w:p>
    <w:p w:rsidR="00D40BC1" w:rsidRPr="00887CC9" w:rsidRDefault="00D40BC1" w:rsidP="00D40BC1"/>
    <w:p w:rsidR="009F7229" w:rsidRPr="00887CC9" w:rsidRDefault="009F7229" w:rsidP="00F87B5C">
      <w:pPr>
        <w:pStyle w:val="Heading4"/>
        <w:ind w:left="720"/>
        <w:rPr>
          <w:sz w:val="20"/>
        </w:rPr>
      </w:pPr>
    </w:p>
    <w:p w:rsidR="009F7229" w:rsidRPr="00887CC9" w:rsidRDefault="00A447F8" w:rsidP="00F87B5C">
      <w:pPr>
        <w:pStyle w:val="Heading4"/>
        <w:ind w:left="720"/>
        <w:jc w:val="left"/>
        <w:rPr>
          <w:sz w:val="20"/>
          <w:u w:val="single"/>
        </w:rPr>
      </w:pPr>
      <w:r w:rsidRPr="00887CC9">
        <w:rPr>
          <w:sz w:val="20"/>
        </w:rPr>
        <w:tab/>
      </w:r>
      <w:r w:rsidRPr="00887CC9">
        <w:rPr>
          <w:sz w:val="20"/>
        </w:rPr>
        <w:tab/>
      </w:r>
      <w:r w:rsidRPr="00887CC9">
        <w:rPr>
          <w:sz w:val="20"/>
        </w:rPr>
        <w:tab/>
      </w:r>
      <w:r w:rsidRPr="00887CC9">
        <w:rPr>
          <w:sz w:val="20"/>
        </w:rPr>
        <w:tab/>
      </w:r>
      <w:r w:rsidRPr="00887CC9">
        <w:rPr>
          <w:sz w:val="20"/>
        </w:rPr>
        <w:tab/>
      </w:r>
      <w:r w:rsidRPr="00887CC9">
        <w:rPr>
          <w:sz w:val="20"/>
        </w:rPr>
        <w:tab/>
      </w:r>
      <w:r w:rsidRPr="00887CC9">
        <w:rPr>
          <w:sz w:val="20"/>
        </w:rPr>
        <w:tab/>
      </w:r>
      <w:r w:rsidRPr="00887CC9">
        <w:rPr>
          <w:sz w:val="20"/>
        </w:rPr>
        <w:tab/>
        <w:t xml:space="preserve">     </w:t>
      </w:r>
      <w:r w:rsidR="00D40BC1" w:rsidRPr="00887CC9">
        <w:rPr>
          <w:sz w:val="20"/>
          <w:u w:val="single"/>
        </w:rPr>
        <w:t>Page</w:t>
      </w:r>
    </w:p>
    <w:p w:rsidR="009F7229" w:rsidRPr="00887CC9" w:rsidRDefault="009F7229" w:rsidP="00F87B5C">
      <w:pPr>
        <w:pStyle w:val="Heading4"/>
        <w:tabs>
          <w:tab w:val="left" w:pos="6750"/>
        </w:tabs>
        <w:ind w:left="720"/>
        <w:jc w:val="left"/>
        <w:rPr>
          <w:sz w:val="20"/>
        </w:rPr>
      </w:pPr>
    </w:p>
    <w:p w:rsidR="009F7229" w:rsidRPr="00887CC9" w:rsidRDefault="00AA6AB3" w:rsidP="00F87B5C">
      <w:pPr>
        <w:pStyle w:val="Heading4"/>
        <w:tabs>
          <w:tab w:val="left" w:pos="6750"/>
        </w:tabs>
        <w:ind w:left="720"/>
        <w:jc w:val="left"/>
        <w:rPr>
          <w:sz w:val="20"/>
        </w:rPr>
      </w:pPr>
      <w:r w:rsidRPr="00887CC9">
        <w:rPr>
          <w:sz w:val="20"/>
        </w:rPr>
        <w:t>Purpose..</w:t>
      </w:r>
      <w:r w:rsidR="009F7229" w:rsidRPr="00887CC9">
        <w:rPr>
          <w:sz w:val="20"/>
        </w:rPr>
        <w:t>………………………………………….………………</w:t>
      </w:r>
      <w:r w:rsidR="00F87B5C" w:rsidRPr="00887CC9">
        <w:rPr>
          <w:sz w:val="20"/>
        </w:rPr>
        <w:t>……</w:t>
      </w:r>
      <w:r w:rsidR="00F87B5C" w:rsidRPr="00887CC9">
        <w:rPr>
          <w:sz w:val="20"/>
        </w:rPr>
        <w:tab/>
        <w:t xml:space="preserve"> </w:t>
      </w:r>
      <w:r w:rsidR="009F7229" w:rsidRPr="00887CC9">
        <w:rPr>
          <w:sz w:val="20"/>
        </w:rPr>
        <w:t>3</w:t>
      </w:r>
    </w:p>
    <w:p w:rsidR="00AA6AB3" w:rsidRPr="00887CC9" w:rsidRDefault="00AA6AB3" w:rsidP="00AA6AB3">
      <w:pPr>
        <w:pStyle w:val="Heading4"/>
        <w:tabs>
          <w:tab w:val="left" w:pos="6750"/>
        </w:tabs>
        <w:ind w:left="720"/>
        <w:jc w:val="left"/>
        <w:rPr>
          <w:sz w:val="20"/>
        </w:rPr>
      </w:pPr>
      <w:r w:rsidRPr="00887CC9">
        <w:rPr>
          <w:sz w:val="20"/>
        </w:rPr>
        <w:t>Recommendation ..……………………………….……………………</w:t>
      </w:r>
      <w:r w:rsidRPr="00887CC9">
        <w:rPr>
          <w:sz w:val="20"/>
        </w:rPr>
        <w:tab/>
        <w:t xml:space="preserve"> 3</w:t>
      </w:r>
    </w:p>
    <w:p w:rsidR="009F7229" w:rsidRPr="00887CC9" w:rsidRDefault="009F7229" w:rsidP="00F87B5C">
      <w:pPr>
        <w:tabs>
          <w:tab w:val="left" w:pos="6750"/>
        </w:tabs>
        <w:ind w:left="720"/>
      </w:pPr>
    </w:p>
    <w:p w:rsidR="009F7229" w:rsidRPr="00887CC9" w:rsidRDefault="009F7229" w:rsidP="00F87B5C">
      <w:pPr>
        <w:tabs>
          <w:tab w:val="left" w:pos="6750"/>
        </w:tabs>
        <w:ind w:left="720"/>
      </w:pPr>
    </w:p>
    <w:p w:rsidR="009F7229" w:rsidRPr="00887CC9" w:rsidRDefault="009F7229" w:rsidP="00F87B5C">
      <w:pPr>
        <w:pStyle w:val="Heading4"/>
        <w:numPr>
          <w:ilvl w:val="0"/>
          <w:numId w:val="12"/>
        </w:numPr>
        <w:tabs>
          <w:tab w:val="clear" w:pos="720"/>
          <w:tab w:val="num" w:pos="1440"/>
          <w:tab w:val="left" w:pos="6750"/>
        </w:tabs>
        <w:ind w:firstLine="0"/>
        <w:jc w:val="left"/>
        <w:rPr>
          <w:sz w:val="20"/>
        </w:rPr>
      </w:pPr>
      <w:r w:rsidRPr="00887CC9">
        <w:rPr>
          <w:sz w:val="20"/>
        </w:rPr>
        <w:t>Total Asse</w:t>
      </w:r>
      <w:r w:rsidR="007871C4" w:rsidRPr="00887CC9">
        <w:rPr>
          <w:sz w:val="20"/>
        </w:rPr>
        <w:t xml:space="preserve">ssed Values for Fiscal Year </w:t>
      </w:r>
      <w:r w:rsidR="007A59AD" w:rsidRPr="00887CC9">
        <w:rPr>
          <w:sz w:val="20"/>
        </w:rPr>
        <w:t>201</w:t>
      </w:r>
      <w:r w:rsidR="00795E4F">
        <w:rPr>
          <w:sz w:val="20"/>
        </w:rPr>
        <w:t>7</w:t>
      </w:r>
      <w:r w:rsidRPr="00887CC9">
        <w:rPr>
          <w:sz w:val="20"/>
        </w:rPr>
        <w:t xml:space="preserve"> …….……</w:t>
      </w:r>
      <w:r w:rsidR="007871C4" w:rsidRPr="00887CC9">
        <w:rPr>
          <w:sz w:val="20"/>
        </w:rPr>
        <w:t>..</w:t>
      </w:r>
      <w:r w:rsidRPr="00887CC9">
        <w:rPr>
          <w:sz w:val="20"/>
        </w:rPr>
        <w:t>..….</w:t>
      </w:r>
      <w:r w:rsidR="00F87B5C" w:rsidRPr="00887CC9">
        <w:rPr>
          <w:sz w:val="20"/>
        </w:rPr>
        <w:tab/>
        <w:t xml:space="preserve"> </w:t>
      </w:r>
      <w:r w:rsidRPr="00887CC9">
        <w:rPr>
          <w:sz w:val="20"/>
        </w:rPr>
        <w:t>3</w:t>
      </w:r>
    </w:p>
    <w:p w:rsidR="009F7229" w:rsidRPr="00887CC9" w:rsidRDefault="009F7229" w:rsidP="00D40BC1">
      <w:pPr>
        <w:tabs>
          <w:tab w:val="left" w:pos="6750"/>
        </w:tabs>
        <w:ind w:left="720" w:firstLine="720"/>
      </w:pPr>
    </w:p>
    <w:p w:rsidR="00D40BC1" w:rsidRPr="00887CC9" w:rsidRDefault="00941951" w:rsidP="00D40BC1">
      <w:pPr>
        <w:numPr>
          <w:ilvl w:val="0"/>
          <w:numId w:val="8"/>
        </w:numPr>
        <w:tabs>
          <w:tab w:val="left" w:pos="6750"/>
        </w:tabs>
        <w:ind w:left="720" w:firstLine="720"/>
      </w:pPr>
      <w:r w:rsidRPr="00887CC9">
        <w:t>Revaluation</w:t>
      </w:r>
      <w:r w:rsidR="005E2211" w:rsidRPr="00887CC9">
        <w:t xml:space="preserve">/Interim Year Adjustment </w:t>
      </w:r>
      <w:r w:rsidR="00AA6AB3" w:rsidRPr="00887CC9">
        <w:t>.</w:t>
      </w:r>
      <w:r w:rsidR="007D5156" w:rsidRPr="00887CC9">
        <w:t>……………</w:t>
      </w:r>
      <w:r w:rsidR="007D5156" w:rsidRPr="00887CC9">
        <w:tab/>
        <w:t xml:space="preserve"> 3</w:t>
      </w:r>
    </w:p>
    <w:p w:rsidR="009F7229" w:rsidRPr="00887CC9" w:rsidRDefault="004544EA" w:rsidP="00D40BC1">
      <w:pPr>
        <w:numPr>
          <w:ilvl w:val="0"/>
          <w:numId w:val="8"/>
        </w:numPr>
        <w:tabs>
          <w:tab w:val="left" w:pos="6750"/>
        </w:tabs>
        <w:ind w:left="720" w:firstLine="720"/>
      </w:pPr>
      <w:r w:rsidRPr="00887CC9">
        <w:t>Abate</w:t>
      </w:r>
      <w:r w:rsidR="005E2211" w:rsidRPr="00887CC9">
        <w:t xml:space="preserve">ments and </w:t>
      </w:r>
      <w:r w:rsidR="00941951" w:rsidRPr="00887CC9">
        <w:t>A</w:t>
      </w:r>
      <w:r w:rsidRPr="00887CC9">
        <w:t>djust</w:t>
      </w:r>
      <w:r w:rsidR="00941951" w:rsidRPr="00887CC9">
        <w:t xml:space="preserve">ments </w:t>
      </w:r>
      <w:r w:rsidR="00AA6AB3" w:rsidRPr="00887CC9">
        <w:t>..</w:t>
      </w:r>
      <w:r w:rsidR="007871C4" w:rsidRPr="00887CC9">
        <w:t>…</w:t>
      </w:r>
      <w:r w:rsidR="009F7229" w:rsidRPr="00887CC9">
        <w:t>…………</w:t>
      </w:r>
      <w:r w:rsidR="007871C4" w:rsidRPr="00887CC9">
        <w:t>.</w:t>
      </w:r>
      <w:r w:rsidR="00F87B5C" w:rsidRPr="00887CC9">
        <w:t>……...</w:t>
      </w:r>
      <w:r w:rsidR="00F87B5C" w:rsidRPr="00887CC9">
        <w:tab/>
      </w:r>
      <w:r w:rsidR="00DF3C94">
        <w:t xml:space="preserve"> 4</w:t>
      </w:r>
    </w:p>
    <w:p w:rsidR="009F7229" w:rsidRPr="00887CC9" w:rsidRDefault="009F7229" w:rsidP="00D40BC1">
      <w:pPr>
        <w:numPr>
          <w:ilvl w:val="0"/>
          <w:numId w:val="8"/>
        </w:numPr>
        <w:tabs>
          <w:tab w:val="left" w:pos="6750"/>
        </w:tabs>
        <w:ind w:left="720" w:firstLine="720"/>
      </w:pPr>
      <w:r w:rsidRPr="00887CC9">
        <w:t xml:space="preserve">New Growth </w:t>
      </w:r>
      <w:r w:rsidR="00AA6AB3" w:rsidRPr="00887CC9">
        <w:t>...</w:t>
      </w:r>
      <w:r w:rsidRPr="00887CC9">
        <w:t>……………………………</w:t>
      </w:r>
      <w:r w:rsidR="007871C4" w:rsidRPr="00887CC9">
        <w:t>.</w:t>
      </w:r>
      <w:r w:rsidR="00F87B5C" w:rsidRPr="00887CC9">
        <w:t>……….</w:t>
      </w:r>
      <w:r w:rsidR="00F87B5C" w:rsidRPr="00887CC9">
        <w:tab/>
        <w:t xml:space="preserve"> </w:t>
      </w:r>
      <w:r w:rsidRPr="00887CC9">
        <w:t>4</w:t>
      </w:r>
    </w:p>
    <w:p w:rsidR="009F7229" w:rsidRPr="00887CC9" w:rsidRDefault="005E2211" w:rsidP="00D40BC1">
      <w:pPr>
        <w:numPr>
          <w:ilvl w:val="0"/>
          <w:numId w:val="8"/>
        </w:numPr>
        <w:tabs>
          <w:tab w:val="left" w:pos="6750"/>
        </w:tabs>
        <w:ind w:left="720" w:firstLine="720"/>
      </w:pPr>
      <w:r w:rsidRPr="00887CC9">
        <w:t>Change</w:t>
      </w:r>
      <w:r w:rsidR="009F7229" w:rsidRPr="00887CC9">
        <w:t xml:space="preserve"> of Taxable Status………</w:t>
      </w:r>
      <w:r w:rsidR="007871C4" w:rsidRPr="00887CC9">
        <w:t>………….</w:t>
      </w:r>
      <w:r w:rsidR="00F87B5C" w:rsidRPr="00887CC9">
        <w:t>………</w:t>
      </w:r>
      <w:r w:rsidR="00F87B5C" w:rsidRPr="00887CC9">
        <w:tab/>
        <w:t xml:space="preserve"> </w:t>
      </w:r>
      <w:r w:rsidR="007871C4" w:rsidRPr="00887CC9">
        <w:t>4</w:t>
      </w:r>
    </w:p>
    <w:p w:rsidR="009F7229" w:rsidRPr="00887CC9" w:rsidRDefault="001373B2" w:rsidP="00D40BC1">
      <w:pPr>
        <w:tabs>
          <w:tab w:val="num" w:pos="2160"/>
          <w:tab w:val="left" w:pos="6750"/>
        </w:tabs>
        <w:ind w:left="720" w:firstLine="720"/>
      </w:pPr>
      <w:r w:rsidRPr="00887CC9">
        <w:t>E.</w:t>
      </w:r>
      <w:r w:rsidR="00F87B5C" w:rsidRPr="00887CC9">
        <w:tab/>
      </w:r>
      <w:r w:rsidR="007871C4" w:rsidRPr="00887CC9">
        <w:t>Total Tax</w:t>
      </w:r>
      <w:r w:rsidR="005E2211" w:rsidRPr="00887CC9">
        <w:t>able</w:t>
      </w:r>
      <w:r w:rsidR="007871C4" w:rsidRPr="00887CC9">
        <w:t xml:space="preserve"> Value</w:t>
      </w:r>
      <w:r w:rsidR="00941951" w:rsidRPr="00887CC9">
        <w:t xml:space="preserve"> </w:t>
      </w:r>
      <w:r w:rsidR="007871C4" w:rsidRPr="00887CC9">
        <w:t>……………………………</w:t>
      </w:r>
      <w:r w:rsidR="00F87B5C" w:rsidRPr="00887CC9">
        <w:t>....</w:t>
      </w:r>
      <w:r w:rsidR="00CB5B13" w:rsidRPr="00887CC9">
        <w:t xml:space="preserve">.  </w:t>
      </w:r>
      <w:r w:rsidR="00F87B5C" w:rsidRPr="00887CC9">
        <w:tab/>
        <w:t xml:space="preserve"> </w:t>
      </w:r>
      <w:r w:rsidR="00DF3C94">
        <w:t>5</w:t>
      </w:r>
    </w:p>
    <w:p w:rsidR="009F7229" w:rsidRPr="00887CC9" w:rsidRDefault="009F7229" w:rsidP="00A447F8">
      <w:pPr>
        <w:tabs>
          <w:tab w:val="left" w:pos="6750"/>
          <w:tab w:val="left" w:pos="6840"/>
        </w:tabs>
        <w:ind w:left="720" w:firstLine="720"/>
      </w:pPr>
    </w:p>
    <w:p w:rsidR="009F7229" w:rsidRPr="00887CC9" w:rsidRDefault="009F7229" w:rsidP="00F87B5C">
      <w:pPr>
        <w:tabs>
          <w:tab w:val="left" w:pos="6750"/>
        </w:tabs>
        <w:ind w:left="720"/>
      </w:pPr>
    </w:p>
    <w:p w:rsidR="009F7229" w:rsidRPr="00887CC9" w:rsidRDefault="009F7229" w:rsidP="00F87B5C">
      <w:pPr>
        <w:numPr>
          <w:ilvl w:val="0"/>
          <w:numId w:val="12"/>
        </w:numPr>
        <w:tabs>
          <w:tab w:val="clear" w:pos="720"/>
          <w:tab w:val="num" w:pos="1440"/>
          <w:tab w:val="left" w:pos="6750"/>
        </w:tabs>
        <w:ind w:firstLine="0"/>
      </w:pPr>
      <w:r w:rsidRPr="00887CC9">
        <w:t>Tax Levy…………………………………………………</w:t>
      </w:r>
      <w:r w:rsidR="007871C4" w:rsidRPr="00887CC9">
        <w:t>...</w:t>
      </w:r>
      <w:r w:rsidR="00F87B5C" w:rsidRPr="00887CC9">
        <w:t>…</w:t>
      </w:r>
      <w:r w:rsidR="00F87B5C" w:rsidRPr="00887CC9">
        <w:tab/>
        <w:t xml:space="preserve"> </w:t>
      </w:r>
      <w:r w:rsidR="00CB5BB2" w:rsidRPr="00887CC9">
        <w:t>5</w:t>
      </w:r>
    </w:p>
    <w:p w:rsidR="009F7229" w:rsidRPr="00887CC9" w:rsidRDefault="009F7229" w:rsidP="00F87B5C">
      <w:pPr>
        <w:tabs>
          <w:tab w:val="left" w:pos="6750"/>
        </w:tabs>
        <w:ind w:left="720"/>
      </w:pPr>
    </w:p>
    <w:p w:rsidR="007871C4" w:rsidRPr="00887CC9" w:rsidRDefault="007871C4" w:rsidP="00D40BC1">
      <w:pPr>
        <w:tabs>
          <w:tab w:val="left" w:pos="6750"/>
        </w:tabs>
        <w:ind w:left="720" w:firstLine="720"/>
      </w:pPr>
      <w:r w:rsidRPr="00887CC9">
        <w:t>FY</w:t>
      </w:r>
      <w:r w:rsidR="004A5913">
        <w:t>201</w:t>
      </w:r>
      <w:r w:rsidR="00795E4F">
        <w:t>7</w:t>
      </w:r>
      <w:r w:rsidRPr="00887CC9">
        <w:t xml:space="preserve"> Taxable Assessed Value……………………………</w:t>
      </w:r>
      <w:r w:rsidR="00F87B5C" w:rsidRPr="00887CC9">
        <w:tab/>
        <w:t xml:space="preserve"> </w:t>
      </w:r>
      <w:r w:rsidR="00CB5BB2" w:rsidRPr="00887CC9">
        <w:t>6</w:t>
      </w:r>
    </w:p>
    <w:p w:rsidR="007871C4" w:rsidRPr="00887CC9" w:rsidRDefault="00816863" w:rsidP="00D40BC1">
      <w:pPr>
        <w:tabs>
          <w:tab w:val="left" w:pos="6750"/>
        </w:tabs>
        <w:ind w:left="720" w:firstLine="720"/>
      </w:pPr>
      <w:r w:rsidRPr="00887CC9">
        <w:t>Comparative Detail</w:t>
      </w:r>
      <w:r w:rsidR="00AB1950" w:rsidRPr="00887CC9">
        <w:t xml:space="preserve"> </w:t>
      </w:r>
      <w:r w:rsidR="00410148" w:rsidRPr="00887CC9">
        <w:t>FY1</w:t>
      </w:r>
      <w:r w:rsidR="00795E4F">
        <w:t>6</w:t>
      </w:r>
      <w:r w:rsidR="00AB1950" w:rsidRPr="00887CC9">
        <w:t xml:space="preserve"> and </w:t>
      </w:r>
      <w:r w:rsidR="00410148" w:rsidRPr="00887CC9">
        <w:t>FY1</w:t>
      </w:r>
      <w:r w:rsidR="00795E4F">
        <w:t>7</w:t>
      </w:r>
      <w:r w:rsidR="007871C4" w:rsidRPr="00887CC9">
        <w:t>………………………</w:t>
      </w:r>
      <w:r w:rsidR="00F87B5C" w:rsidRPr="00887CC9">
        <w:t>...</w:t>
      </w:r>
      <w:r w:rsidR="00F87B5C" w:rsidRPr="00887CC9">
        <w:tab/>
        <w:t xml:space="preserve"> </w:t>
      </w:r>
      <w:r w:rsidR="00CB5BB2" w:rsidRPr="00887CC9">
        <w:t>7</w:t>
      </w:r>
    </w:p>
    <w:p w:rsidR="009F7229" w:rsidRPr="00887CC9" w:rsidRDefault="009F7229" w:rsidP="00D40BC1">
      <w:pPr>
        <w:tabs>
          <w:tab w:val="left" w:pos="6750"/>
        </w:tabs>
        <w:ind w:left="720" w:firstLine="720"/>
      </w:pPr>
    </w:p>
    <w:p w:rsidR="00D40BC1" w:rsidRPr="00887CC9" w:rsidRDefault="00D40BC1" w:rsidP="00D40BC1">
      <w:pPr>
        <w:tabs>
          <w:tab w:val="left" w:pos="6750"/>
        </w:tabs>
        <w:ind w:left="720" w:firstLine="720"/>
      </w:pPr>
    </w:p>
    <w:p w:rsidR="009F7229" w:rsidRPr="00887CC9" w:rsidRDefault="009F7229" w:rsidP="00F87B5C">
      <w:pPr>
        <w:numPr>
          <w:ilvl w:val="0"/>
          <w:numId w:val="12"/>
        </w:numPr>
        <w:tabs>
          <w:tab w:val="clear" w:pos="720"/>
          <w:tab w:val="num" w:pos="1440"/>
          <w:tab w:val="left" w:pos="6750"/>
        </w:tabs>
        <w:ind w:firstLine="0"/>
      </w:pPr>
      <w:r w:rsidRPr="00887CC9">
        <w:t>Tax Rate …</w:t>
      </w:r>
      <w:r w:rsidR="007871C4" w:rsidRPr="00887CC9">
        <w:t>…</w:t>
      </w:r>
      <w:r w:rsidR="00F87B5C" w:rsidRPr="00887CC9">
        <w:t>……………………………………………….</w:t>
      </w:r>
      <w:r w:rsidR="00F87B5C" w:rsidRPr="00887CC9">
        <w:tab/>
        <w:t xml:space="preserve"> </w:t>
      </w:r>
      <w:r w:rsidR="00CB5BB2" w:rsidRPr="00887CC9">
        <w:t>8</w:t>
      </w:r>
    </w:p>
    <w:p w:rsidR="009F7229" w:rsidRPr="00887CC9" w:rsidRDefault="009F7229" w:rsidP="00D40BC1">
      <w:pPr>
        <w:tabs>
          <w:tab w:val="left" w:pos="6750"/>
        </w:tabs>
        <w:ind w:left="720" w:firstLine="720"/>
      </w:pPr>
    </w:p>
    <w:p w:rsidR="009F7229" w:rsidRPr="00887CC9" w:rsidRDefault="009F7229" w:rsidP="00D40BC1">
      <w:pPr>
        <w:numPr>
          <w:ilvl w:val="0"/>
          <w:numId w:val="11"/>
        </w:numPr>
        <w:tabs>
          <w:tab w:val="left" w:pos="6750"/>
        </w:tabs>
        <w:ind w:left="720" w:firstLine="720"/>
      </w:pPr>
      <w:r w:rsidRPr="00887CC9">
        <w:t>Res</w:t>
      </w:r>
      <w:r w:rsidR="007871C4" w:rsidRPr="00887CC9">
        <w:t>idential Factor …………………………………</w:t>
      </w:r>
      <w:r w:rsidR="00F87B5C" w:rsidRPr="00887CC9">
        <w:t>.</w:t>
      </w:r>
      <w:r w:rsidR="00F87B5C" w:rsidRPr="00887CC9">
        <w:tab/>
        <w:t xml:space="preserve"> </w:t>
      </w:r>
      <w:r w:rsidR="00CB5BB2" w:rsidRPr="00887CC9">
        <w:t>8</w:t>
      </w:r>
    </w:p>
    <w:p w:rsidR="009F7229" w:rsidRPr="00887CC9" w:rsidRDefault="009F7229" w:rsidP="00D40BC1">
      <w:pPr>
        <w:numPr>
          <w:ilvl w:val="0"/>
          <w:numId w:val="11"/>
        </w:numPr>
        <w:tabs>
          <w:tab w:val="left" w:pos="6750"/>
        </w:tabs>
        <w:ind w:left="720" w:firstLine="720"/>
      </w:pPr>
      <w:r w:rsidRPr="00887CC9">
        <w:t>Open</w:t>
      </w:r>
      <w:r w:rsidR="007871C4" w:rsidRPr="00887CC9">
        <w:t xml:space="preserve"> Space Discount ……………………………....</w:t>
      </w:r>
      <w:r w:rsidR="00F87B5C" w:rsidRPr="00887CC9">
        <w:tab/>
      </w:r>
      <w:r w:rsidR="00CB5BB2" w:rsidRPr="00887CC9">
        <w:t xml:space="preserve"> 9</w:t>
      </w:r>
    </w:p>
    <w:p w:rsidR="009F7229" w:rsidRPr="00887CC9" w:rsidRDefault="009F7229" w:rsidP="00D40BC1">
      <w:pPr>
        <w:numPr>
          <w:ilvl w:val="0"/>
          <w:numId w:val="11"/>
        </w:numPr>
        <w:tabs>
          <w:tab w:val="left" w:pos="6750"/>
        </w:tabs>
        <w:ind w:left="720" w:firstLine="720"/>
      </w:pPr>
      <w:r w:rsidRPr="00887CC9">
        <w:t>Resi</w:t>
      </w:r>
      <w:r w:rsidR="007871C4" w:rsidRPr="00887CC9">
        <w:t>dential Exemption ……………………….…….</w:t>
      </w:r>
      <w:r w:rsidR="00F87B5C" w:rsidRPr="00887CC9">
        <w:tab/>
      </w:r>
      <w:r w:rsidR="00CB5BB2" w:rsidRPr="00887CC9">
        <w:t xml:space="preserve"> 9</w:t>
      </w:r>
    </w:p>
    <w:p w:rsidR="009F7229" w:rsidRPr="00887CC9" w:rsidRDefault="009F7229" w:rsidP="00D40BC1">
      <w:pPr>
        <w:numPr>
          <w:ilvl w:val="0"/>
          <w:numId w:val="11"/>
        </w:numPr>
        <w:tabs>
          <w:tab w:val="left" w:pos="6750"/>
        </w:tabs>
        <w:ind w:left="720" w:firstLine="720"/>
      </w:pPr>
      <w:r w:rsidRPr="00887CC9">
        <w:t>Small Commercial Exemption ……………………</w:t>
      </w:r>
      <w:r w:rsidR="00F87B5C" w:rsidRPr="00887CC9">
        <w:t>..</w:t>
      </w:r>
      <w:r w:rsidR="00F87B5C" w:rsidRPr="00887CC9">
        <w:tab/>
      </w:r>
      <w:r w:rsidR="005E2211" w:rsidRPr="00887CC9">
        <w:t>11</w:t>
      </w:r>
    </w:p>
    <w:p w:rsidR="009F7229" w:rsidRPr="00887CC9" w:rsidRDefault="009F7229" w:rsidP="00D40BC1">
      <w:pPr>
        <w:tabs>
          <w:tab w:val="left" w:pos="6750"/>
        </w:tabs>
        <w:ind w:left="720" w:firstLine="720"/>
      </w:pPr>
    </w:p>
    <w:p w:rsidR="009F7229" w:rsidRPr="00887CC9" w:rsidRDefault="009F7229" w:rsidP="00F87B5C">
      <w:pPr>
        <w:tabs>
          <w:tab w:val="left" w:pos="6750"/>
        </w:tabs>
        <w:ind w:left="720"/>
      </w:pPr>
    </w:p>
    <w:p w:rsidR="009F7229" w:rsidRPr="00887CC9" w:rsidRDefault="009F7229" w:rsidP="00F87B5C">
      <w:pPr>
        <w:tabs>
          <w:tab w:val="left" w:pos="6750"/>
        </w:tabs>
        <w:ind w:left="720"/>
      </w:pPr>
      <w:r w:rsidRPr="00887CC9">
        <w:t>Conclusion ………</w:t>
      </w:r>
      <w:r w:rsidR="007871C4" w:rsidRPr="00887CC9">
        <w:t>……………………………………………………</w:t>
      </w:r>
      <w:r w:rsidR="00F87B5C" w:rsidRPr="00887CC9">
        <w:tab/>
      </w:r>
      <w:r w:rsidR="00CB5BB2" w:rsidRPr="00887CC9">
        <w:t>1</w:t>
      </w:r>
      <w:r w:rsidR="004544EA" w:rsidRPr="00887CC9">
        <w:t>1</w:t>
      </w:r>
    </w:p>
    <w:p w:rsidR="009F7229" w:rsidRPr="00887CC9" w:rsidRDefault="009F7229" w:rsidP="00F87B5C">
      <w:pPr>
        <w:tabs>
          <w:tab w:val="left" w:pos="6750"/>
        </w:tabs>
        <w:ind w:left="720"/>
      </w:pPr>
    </w:p>
    <w:p w:rsidR="00D40BC1" w:rsidRPr="00887CC9" w:rsidRDefault="00D40BC1" w:rsidP="00F87B5C">
      <w:pPr>
        <w:tabs>
          <w:tab w:val="left" w:pos="6750"/>
        </w:tabs>
        <w:ind w:left="720"/>
      </w:pPr>
    </w:p>
    <w:p w:rsidR="009F7229" w:rsidRPr="00887CC9" w:rsidRDefault="007871C4" w:rsidP="00F87B5C">
      <w:pPr>
        <w:tabs>
          <w:tab w:val="left" w:pos="6750"/>
        </w:tabs>
        <w:ind w:left="720"/>
      </w:pPr>
      <w:r w:rsidRPr="00887CC9">
        <w:t>Addendum 1: State Use Codes………………………………………</w:t>
      </w:r>
      <w:r w:rsidR="00F87B5C" w:rsidRPr="00887CC9">
        <w:t>..</w:t>
      </w:r>
      <w:r w:rsidR="00F87B5C" w:rsidRPr="00887CC9">
        <w:tab/>
      </w:r>
      <w:r w:rsidR="00D36A2A" w:rsidRPr="00887CC9">
        <w:t>1</w:t>
      </w:r>
      <w:r w:rsidR="004544EA" w:rsidRPr="00887CC9">
        <w:t>3</w:t>
      </w:r>
    </w:p>
    <w:p w:rsidR="007871C4" w:rsidRPr="00887CC9" w:rsidRDefault="007871C4" w:rsidP="00F87B5C">
      <w:pPr>
        <w:tabs>
          <w:tab w:val="left" w:pos="6750"/>
        </w:tabs>
        <w:ind w:left="720"/>
      </w:pPr>
      <w:r w:rsidRPr="00887CC9">
        <w:t>Addendum 2: Assessment/Classification Report FY</w:t>
      </w:r>
      <w:r w:rsidR="007A59AD" w:rsidRPr="00887CC9">
        <w:t>201</w:t>
      </w:r>
      <w:r w:rsidR="00182261">
        <w:t>7</w:t>
      </w:r>
      <w:r w:rsidRPr="00887CC9">
        <w:t>……………</w:t>
      </w:r>
      <w:r w:rsidR="00F87B5C" w:rsidRPr="00887CC9">
        <w:tab/>
      </w:r>
      <w:r w:rsidR="005D04A1" w:rsidRPr="00887CC9">
        <w:t>1</w:t>
      </w:r>
      <w:r w:rsidR="004544EA" w:rsidRPr="00887CC9">
        <w:t>4</w:t>
      </w:r>
    </w:p>
    <w:p w:rsidR="007871C4" w:rsidRPr="00887CC9" w:rsidRDefault="007871C4" w:rsidP="00F87B5C">
      <w:pPr>
        <w:tabs>
          <w:tab w:val="left" w:pos="6750"/>
        </w:tabs>
        <w:ind w:left="720"/>
      </w:pPr>
      <w:r w:rsidRPr="00887CC9">
        <w:t>Addendum 3: Comparative Tax Rates………………………………</w:t>
      </w:r>
      <w:r w:rsidR="00D40BC1" w:rsidRPr="00887CC9">
        <w:t>..</w:t>
      </w:r>
      <w:r w:rsidR="00F87B5C" w:rsidRPr="00887CC9">
        <w:tab/>
      </w:r>
      <w:r w:rsidR="005D04A1" w:rsidRPr="00887CC9">
        <w:t>1</w:t>
      </w:r>
      <w:r w:rsidR="004544EA" w:rsidRPr="00887CC9">
        <w:t>5</w:t>
      </w:r>
    </w:p>
    <w:p w:rsidR="007871C4" w:rsidRPr="00887CC9" w:rsidRDefault="007871C4" w:rsidP="00F87B5C">
      <w:pPr>
        <w:tabs>
          <w:tab w:val="left" w:pos="6750"/>
        </w:tabs>
        <w:ind w:left="720"/>
      </w:pPr>
      <w:r w:rsidRPr="00887CC9">
        <w:t>Addendum 4: Classification Scenarios………………………………</w:t>
      </w:r>
      <w:r w:rsidR="00F87B5C" w:rsidRPr="00887CC9">
        <w:t>.</w:t>
      </w:r>
      <w:r w:rsidR="00F87B5C" w:rsidRPr="00887CC9">
        <w:tab/>
      </w:r>
      <w:r w:rsidR="005D04A1" w:rsidRPr="00887CC9">
        <w:t>1</w:t>
      </w:r>
      <w:r w:rsidR="004544EA" w:rsidRPr="00887CC9">
        <w:t>7</w:t>
      </w:r>
    </w:p>
    <w:p w:rsidR="00FA049D" w:rsidRPr="00887CC9" w:rsidRDefault="00FA049D" w:rsidP="00FA049D">
      <w:pPr>
        <w:tabs>
          <w:tab w:val="left" w:pos="6750"/>
        </w:tabs>
        <w:ind w:left="720"/>
      </w:pPr>
      <w:r w:rsidRPr="00887CC9">
        <w:t xml:space="preserve">Addendum 5: </w:t>
      </w:r>
      <w:smartTag w:uri="urn:schemas-microsoft-com:office:smarttags" w:element="place">
        <w:smartTag w:uri="urn:schemas-microsoft-com:office:smarttags" w:element="PlaceName">
          <w:r w:rsidRPr="00887CC9">
            <w:t>Single</w:t>
          </w:r>
        </w:smartTag>
        <w:r w:rsidRPr="00887CC9">
          <w:t xml:space="preserve"> </w:t>
        </w:r>
        <w:smartTag w:uri="urn:schemas-microsoft-com:office:smarttags" w:element="PlaceName">
          <w:r w:rsidRPr="00887CC9">
            <w:t>Family</w:t>
          </w:r>
        </w:smartTag>
        <w:r w:rsidRPr="00887CC9">
          <w:t xml:space="preserve"> </w:t>
        </w:r>
        <w:smartTag w:uri="urn:schemas-microsoft-com:office:smarttags" w:element="PlaceName">
          <w:r w:rsidRPr="00887CC9">
            <w:t>Value</w:t>
          </w:r>
        </w:smartTag>
        <w:r w:rsidRPr="00887CC9">
          <w:t xml:space="preserve"> </w:t>
        </w:r>
        <w:smartTag w:uri="urn:schemas-microsoft-com:office:smarttags" w:element="PlaceType">
          <w:r w:rsidRPr="00887CC9">
            <w:t>Ranges</w:t>
          </w:r>
        </w:smartTag>
      </w:smartTag>
      <w:r w:rsidRPr="00887CC9">
        <w:t>…………………………..</w:t>
      </w:r>
      <w:r w:rsidRPr="00887CC9">
        <w:tab/>
      </w:r>
      <w:r w:rsidR="005D04A1" w:rsidRPr="00887CC9">
        <w:t>1</w:t>
      </w:r>
      <w:r w:rsidR="004544EA" w:rsidRPr="00887CC9">
        <w:t>8</w:t>
      </w:r>
      <w:r w:rsidRPr="00887CC9">
        <w:t xml:space="preserve"> </w:t>
      </w:r>
    </w:p>
    <w:p w:rsidR="007871C4" w:rsidRPr="00887CC9" w:rsidRDefault="007871C4" w:rsidP="00F87B5C">
      <w:pPr>
        <w:tabs>
          <w:tab w:val="left" w:pos="6750"/>
        </w:tabs>
        <w:ind w:left="720"/>
      </w:pPr>
      <w:r w:rsidRPr="00887CC9">
        <w:t xml:space="preserve">Addendum </w:t>
      </w:r>
      <w:r w:rsidR="00FA049D" w:rsidRPr="00887CC9">
        <w:t>6</w:t>
      </w:r>
      <w:r w:rsidRPr="00887CC9">
        <w:t xml:space="preserve">: </w:t>
      </w:r>
      <w:smartTag w:uri="urn:schemas-microsoft-com:office:smarttags" w:element="place">
        <w:smartTag w:uri="urn:schemas-microsoft-com:office:smarttags" w:element="PlaceName">
          <w:r w:rsidR="00FA049D" w:rsidRPr="00887CC9">
            <w:t>Condominium</w:t>
          </w:r>
        </w:smartTag>
        <w:r w:rsidR="00FA049D" w:rsidRPr="00887CC9">
          <w:t xml:space="preserve"> </w:t>
        </w:r>
        <w:smartTag w:uri="urn:schemas-microsoft-com:office:smarttags" w:element="PlaceName">
          <w:r w:rsidRPr="00887CC9">
            <w:t>Value</w:t>
          </w:r>
        </w:smartTag>
        <w:r w:rsidRPr="00887CC9">
          <w:t xml:space="preserve"> </w:t>
        </w:r>
        <w:smartTag w:uri="urn:schemas-microsoft-com:office:smarttags" w:element="PlaceType">
          <w:r w:rsidRPr="00887CC9">
            <w:t>Ranges</w:t>
          </w:r>
        </w:smartTag>
      </w:smartTag>
      <w:r w:rsidRPr="00887CC9">
        <w:t>…………………………</w:t>
      </w:r>
      <w:r w:rsidR="00D40BC1" w:rsidRPr="00887CC9">
        <w:t>..</w:t>
      </w:r>
      <w:r w:rsidR="00F87B5C" w:rsidRPr="00887CC9">
        <w:tab/>
      </w:r>
      <w:r w:rsidR="004544EA" w:rsidRPr="00887CC9">
        <w:t>19</w:t>
      </w:r>
      <w:r w:rsidR="00CB5BB2" w:rsidRPr="00887CC9">
        <w:t xml:space="preserve"> </w:t>
      </w:r>
    </w:p>
    <w:p w:rsidR="00F87B5C" w:rsidRPr="00887CC9" w:rsidRDefault="00F87B5C" w:rsidP="00F87B5C">
      <w:pPr>
        <w:tabs>
          <w:tab w:val="left" w:pos="6750"/>
        </w:tabs>
        <w:ind w:firstLine="720"/>
        <w:sectPr w:rsidR="00F87B5C" w:rsidRPr="00887CC9" w:rsidSect="003B5B25">
          <w:footerReference w:type="even" r:id="rId9"/>
          <w:footerReference w:type="default" r:id="rId10"/>
          <w:pgSz w:w="12240" w:h="15840"/>
          <w:pgMar w:top="1440" w:right="1152" w:bottom="1296" w:left="1800" w:header="720" w:footer="720" w:gutter="0"/>
          <w:cols w:space="720"/>
          <w:titlePg/>
          <w:docGrid w:linePitch="272"/>
        </w:sectPr>
      </w:pPr>
    </w:p>
    <w:p w:rsidR="009F7229" w:rsidRPr="00887CC9" w:rsidRDefault="009F7229">
      <w:pPr>
        <w:rPr>
          <w:b/>
        </w:rPr>
      </w:pPr>
      <w:r w:rsidRPr="00887CC9">
        <w:rPr>
          <w:b/>
        </w:rPr>
        <w:lastRenderedPageBreak/>
        <w:t>Purpose</w:t>
      </w:r>
    </w:p>
    <w:p w:rsidR="009F7229" w:rsidRPr="00887CC9" w:rsidRDefault="009F7229">
      <w:pPr>
        <w:jc w:val="both"/>
        <w:rPr>
          <w:b/>
        </w:rPr>
      </w:pPr>
    </w:p>
    <w:p w:rsidR="00AA6AB3" w:rsidRPr="00887CC9" w:rsidRDefault="009F7229" w:rsidP="00126D79">
      <w:pPr>
        <w:ind w:firstLine="720"/>
      </w:pPr>
      <w:r w:rsidRPr="00887CC9">
        <w:t xml:space="preserve">The purpose of the public classification hearing is for the </w:t>
      </w:r>
      <w:r w:rsidR="000A1F07">
        <w:t>Select Board</w:t>
      </w:r>
      <w:r w:rsidRPr="00887CC9">
        <w:t xml:space="preserve"> to determine the allocation of the local property tax to be borne by the f</w:t>
      </w:r>
      <w:r w:rsidR="008E144C" w:rsidRPr="00887CC9">
        <w:t>our classes of real property plus</w:t>
      </w:r>
      <w:r w:rsidRPr="00887CC9">
        <w:t xml:space="preserve"> personal property for Fiscal Year </w:t>
      </w:r>
      <w:r w:rsidR="007A59AD" w:rsidRPr="00887CC9">
        <w:t>201</w:t>
      </w:r>
      <w:r w:rsidR="00F80FC8">
        <w:t>8</w:t>
      </w:r>
      <w:r w:rsidR="00182261">
        <w:t>.</w:t>
      </w:r>
      <w:r w:rsidR="00CB5B13" w:rsidRPr="00887CC9">
        <w:t xml:space="preserve">  </w:t>
      </w:r>
      <w:r w:rsidRPr="00887CC9">
        <w:t xml:space="preserve">In </w:t>
      </w:r>
      <w:r w:rsidR="008E144C" w:rsidRPr="00887CC9">
        <w:t>deciding</w:t>
      </w:r>
      <w:r w:rsidRPr="00887CC9">
        <w:t xml:space="preserve"> the allocation, the </w:t>
      </w:r>
      <w:r w:rsidR="000A1F07">
        <w:t>Select Board</w:t>
      </w:r>
      <w:r w:rsidRPr="00887CC9">
        <w:t xml:space="preserve"> must adopt a residential factor, which is used to determine the percentage of the tax levy to apply to each class of real and personal property</w:t>
      </w:r>
      <w:r w:rsidR="00CB5B13" w:rsidRPr="00887CC9">
        <w:t xml:space="preserve">.  </w:t>
      </w:r>
      <w:r w:rsidRPr="00887CC9">
        <w:t>The Board of Assessors applies these percentages to the individual property class (M.G.L</w:t>
      </w:r>
      <w:r w:rsidR="009F6D03" w:rsidRPr="00887CC9">
        <w:t>.</w:t>
      </w:r>
      <w:r w:rsidR="00CB5B13" w:rsidRPr="00887CC9">
        <w:t xml:space="preserve"> </w:t>
      </w:r>
      <w:r w:rsidR="00AA6AB3" w:rsidRPr="00887CC9">
        <w:t xml:space="preserve">Chapter 40, section 56). </w:t>
      </w:r>
      <w:r w:rsidR="007A59AD" w:rsidRPr="00887CC9">
        <w:t xml:space="preserve">  The </w:t>
      </w:r>
      <w:r w:rsidR="000A1F07">
        <w:t>Select Board</w:t>
      </w:r>
      <w:r w:rsidR="007A59AD" w:rsidRPr="00887CC9">
        <w:t xml:space="preserve"> </w:t>
      </w:r>
      <w:r w:rsidR="00FE4199">
        <w:t>also can</w:t>
      </w:r>
      <w:r w:rsidR="007A59AD" w:rsidRPr="00887CC9">
        <w:t xml:space="preserve"> vote to adopt a factor for shifting the taxes among residential properties (residential exemption), among commercial properties (small commercial exemption), and between residential and open space properties (open space discount).  </w:t>
      </w:r>
      <w:r w:rsidRPr="00887CC9">
        <w:t xml:space="preserve">It is the responsibility of the Assessors to provide the </w:t>
      </w:r>
      <w:r w:rsidR="000A1F07">
        <w:t>Select Board</w:t>
      </w:r>
      <w:r w:rsidR="007A59AD" w:rsidRPr="00887CC9">
        <w:t xml:space="preserve"> </w:t>
      </w:r>
      <w:r w:rsidR="00111090" w:rsidRPr="00887CC9">
        <w:t>with all relevant information,</w:t>
      </w:r>
      <w:r w:rsidRPr="00887CC9">
        <w:t xml:space="preserve"> and to discuss the fiscal effect of possible alternatives</w:t>
      </w:r>
      <w:r w:rsidR="00CB5B13" w:rsidRPr="00887CC9">
        <w:t xml:space="preserve">.  </w:t>
      </w:r>
    </w:p>
    <w:p w:rsidR="00AA6AB3" w:rsidRPr="00887CC9" w:rsidRDefault="00AA6AB3" w:rsidP="00126D79"/>
    <w:p w:rsidR="00AA6AB3" w:rsidRPr="00887CC9" w:rsidRDefault="00AA6AB3" w:rsidP="00AA6AB3">
      <w:pPr>
        <w:jc w:val="both"/>
        <w:rPr>
          <w:b/>
        </w:rPr>
      </w:pPr>
      <w:r w:rsidRPr="00887CC9">
        <w:rPr>
          <w:b/>
        </w:rPr>
        <w:t>Recommendation</w:t>
      </w:r>
    </w:p>
    <w:p w:rsidR="00AA6AB3" w:rsidRPr="00887CC9" w:rsidRDefault="00AA6AB3" w:rsidP="00AA6AB3">
      <w:pPr>
        <w:jc w:val="both"/>
        <w:rPr>
          <w:b/>
        </w:rPr>
      </w:pPr>
    </w:p>
    <w:p w:rsidR="003F26D4" w:rsidRDefault="009F7229" w:rsidP="00126D79">
      <w:pPr>
        <w:ind w:firstLine="720"/>
      </w:pPr>
      <w:r w:rsidRPr="00887CC9">
        <w:t xml:space="preserve">The Board of Assessors </w:t>
      </w:r>
      <w:r w:rsidR="001822D9" w:rsidRPr="00887CC9">
        <w:t>recommends</w:t>
      </w:r>
      <w:r w:rsidRPr="00887CC9">
        <w:t xml:space="preserve"> the </w:t>
      </w:r>
      <w:r w:rsidR="00FC369F" w:rsidRPr="00887CC9">
        <w:t>S</w:t>
      </w:r>
      <w:r w:rsidRPr="00887CC9">
        <w:t>elect</w:t>
      </w:r>
      <w:r w:rsidR="000A1F07">
        <w:t xml:space="preserve"> Board</w:t>
      </w:r>
      <w:r w:rsidRPr="00887CC9">
        <w:t xml:space="preserve"> take the following action in adopting the </w:t>
      </w:r>
      <w:r w:rsidR="00C94A7A" w:rsidRPr="00887CC9">
        <w:t>FY</w:t>
      </w:r>
      <w:r w:rsidR="007A59AD" w:rsidRPr="00887CC9">
        <w:t>201</w:t>
      </w:r>
      <w:r w:rsidR="00F80FC8">
        <w:t>8</w:t>
      </w:r>
      <w:r w:rsidRPr="00887CC9">
        <w:t xml:space="preserve"> </w:t>
      </w:r>
    </w:p>
    <w:p w:rsidR="009F7229" w:rsidRPr="00887CC9" w:rsidRDefault="00FE4199" w:rsidP="003F26D4">
      <w:r>
        <w:t>factors</w:t>
      </w:r>
      <w:r w:rsidR="009F7229" w:rsidRPr="00887CC9">
        <w:t>:</w:t>
      </w:r>
    </w:p>
    <w:p w:rsidR="009F7229" w:rsidRPr="00887CC9" w:rsidRDefault="00264225" w:rsidP="006421F0">
      <w:pPr>
        <w:ind w:left="1440"/>
        <w:jc w:val="both"/>
      </w:pPr>
      <w:r w:rsidRPr="00887CC9">
        <w:t>1</w:t>
      </w:r>
      <w:r w:rsidR="00CB5B13" w:rsidRPr="00887CC9">
        <w:t xml:space="preserve">.  </w:t>
      </w:r>
      <w:r w:rsidRPr="00887CC9">
        <w:t>Vote a “Residential F</w:t>
      </w:r>
      <w:r w:rsidR="007A59AD" w:rsidRPr="00887CC9">
        <w:t>actor</w:t>
      </w:r>
      <w:r w:rsidR="00FC369F" w:rsidRPr="00887CC9">
        <w:t xml:space="preserve"> of “1.”</w:t>
      </w:r>
    </w:p>
    <w:p w:rsidR="00A0639B" w:rsidRPr="00887CC9" w:rsidRDefault="00A0639B" w:rsidP="006421F0">
      <w:pPr>
        <w:ind w:left="1440"/>
        <w:jc w:val="both"/>
      </w:pPr>
    </w:p>
    <w:p w:rsidR="009F7229" w:rsidRPr="00887CC9" w:rsidRDefault="009F7229" w:rsidP="006421F0">
      <w:pPr>
        <w:ind w:left="1440"/>
        <w:jc w:val="both"/>
      </w:pPr>
      <w:r w:rsidRPr="00887CC9">
        <w:t>2</w:t>
      </w:r>
      <w:r w:rsidR="00CB5B13" w:rsidRPr="00887CC9">
        <w:t xml:space="preserve">.  </w:t>
      </w:r>
      <w:r w:rsidRPr="00887CC9">
        <w:t>Vote not to grant a</w:t>
      </w:r>
      <w:r w:rsidR="00264225" w:rsidRPr="00887CC9">
        <w:t>n</w:t>
      </w:r>
      <w:r w:rsidRPr="00887CC9">
        <w:t xml:space="preserve"> Open Space discount.</w:t>
      </w:r>
    </w:p>
    <w:p w:rsidR="00A0639B" w:rsidRPr="00887CC9" w:rsidRDefault="00A0639B" w:rsidP="006421F0">
      <w:pPr>
        <w:ind w:left="1440"/>
        <w:jc w:val="both"/>
      </w:pPr>
    </w:p>
    <w:p w:rsidR="009F7229" w:rsidRPr="00887CC9" w:rsidRDefault="009F7229" w:rsidP="006421F0">
      <w:pPr>
        <w:ind w:left="1440"/>
        <w:jc w:val="both"/>
      </w:pPr>
      <w:r w:rsidRPr="00887CC9">
        <w:t>3</w:t>
      </w:r>
      <w:r w:rsidR="00CB5B13" w:rsidRPr="00887CC9">
        <w:t xml:space="preserve">.  </w:t>
      </w:r>
      <w:r w:rsidRPr="00887CC9">
        <w:t xml:space="preserve">Vote not to adopt a </w:t>
      </w:r>
      <w:r w:rsidR="00264225" w:rsidRPr="00887CC9">
        <w:t>R</w:t>
      </w:r>
      <w:r w:rsidRPr="00887CC9">
        <w:t xml:space="preserve">esidential </w:t>
      </w:r>
      <w:r w:rsidR="00264225" w:rsidRPr="00887CC9">
        <w:t>E</w:t>
      </w:r>
      <w:r w:rsidRPr="00887CC9">
        <w:t>xemption.</w:t>
      </w:r>
    </w:p>
    <w:p w:rsidR="00A0639B" w:rsidRPr="00887CC9" w:rsidRDefault="00A0639B" w:rsidP="006421F0">
      <w:pPr>
        <w:ind w:left="1440"/>
        <w:jc w:val="both"/>
      </w:pPr>
    </w:p>
    <w:p w:rsidR="009F7229" w:rsidRDefault="00264225" w:rsidP="006421F0">
      <w:pPr>
        <w:ind w:left="1440"/>
        <w:jc w:val="both"/>
      </w:pPr>
      <w:r w:rsidRPr="00887CC9">
        <w:t>4</w:t>
      </w:r>
      <w:r w:rsidR="00CB5B13" w:rsidRPr="00887CC9">
        <w:t xml:space="preserve">.  </w:t>
      </w:r>
      <w:r w:rsidRPr="00887CC9">
        <w:t>Vote not to adopt a Small C</w:t>
      </w:r>
      <w:r w:rsidR="009F7229" w:rsidRPr="00887CC9">
        <w:t xml:space="preserve">ommercial </w:t>
      </w:r>
      <w:r w:rsidRPr="00887CC9">
        <w:t>E</w:t>
      </w:r>
      <w:r w:rsidR="009F7229" w:rsidRPr="00887CC9">
        <w:t>xemption.</w:t>
      </w:r>
    </w:p>
    <w:p w:rsidR="00F81AB6" w:rsidRDefault="00F81AB6" w:rsidP="00F81AB6">
      <w:pPr>
        <w:jc w:val="both"/>
      </w:pPr>
    </w:p>
    <w:p w:rsidR="00F81AB6" w:rsidRPr="00FB6C1E" w:rsidRDefault="00F81AB6" w:rsidP="00126D79">
      <w:r w:rsidRPr="004A4A6E">
        <w:t>These recommendations result in a uniform tax rate of $1</w:t>
      </w:r>
      <w:r w:rsidR="00483033">
        <w:t>4.</w:t>
      </w:r>
      <w:r w:rsidR="00F80FC8">
        <w:t>29</w:t>
      </w:r>
      <w:r w:rsidRPr="004A4A6E">
        <w:t xml:space="preserve">, </w:t>
      </w:r>
      <w:r w:rsidR="00483033">
        <w:t>up 1</w:t>
      </w:r>
      <w:r w:rsidR="00F80FC8">
        <w:t>.56</w:t>
      </w:r>
      <w:r w:rsidRPr="004A4A6E">
        <w:t>% from the F</w:t>
      </w:r>
      <w:r w:rsidR="00126D79" w:rsidRPr="004A4A6E">
        <w:t>Y</w:t>
      </w:r>
      <w:r w:rsidRPr="004A4A6E">
        <w:t>201</w:t>
      </w:r>
      <w:r w:rsidR="00F80FC8">
        <w:t>7</w:t>
      </w:r>
      <w:r w:rsidRPr="004A4A6E">
        <w:t xml:space="preserve"> rate</w:t>
      </w:r>
      <w:r w:rsidR="007D097B" w:rsidRPr="004A4A6E">
        <w:t xml:space="preserve">.  Total taxable value is </w:t>
      </w:r>
      <w:r w:rsidR="00B122B9" w:rsidRPr="004A4A6E">
        <w:t xml:space="preserve">up </w:t>
      </w:r>
      <w:r w:rsidR="00483033">
        <w:t>2.</w:t>
      </w:r>
      <w:r w:rsidR="00F80FC8">
        <w:t>87</w:t>
      </w:r>
      <w:r w:rsidR="007D097B" w:rsidRPr="004A4A6E">
        <w:t xml:space="preserve">%.  Net of new growth, the tax </w:t>
      </w:r>
      <w:r w:rsidR="0076269D" w:rsidRPr="004A4A6E">
        <w:t xml:space="preserve">value </w:t>
      </w:r>
      <w:r w:rsidR="007D097B" w:rsidRPr="004A4A6E">
        <w:t xml:space="preserve">on all other property will rise </w:t>
      </w:r>
      <w:r w:rsidR="00F80FC8">
        <w:t>2.38</w:t>
      </w:r>
      <w:r w:rsidR="00483033">
        <w:t>%</w:t>
      </w:r>
      <w:r w:rsidR="007D097B" w:rsidRPr="004A4A6E">
        <w:t>.</w:t>
      </w:r>
    </w:p>
    <w:p w:rsidR="009F7229" w:rsidRPr="003555A2" w:rsidRDefault="009F7229" w:rsidP="00126D79">
      <w:pPr>
        <w:rPr>
          <w:color w:val="FF0000"/>
        </w:rPr>
      </w:pPr>
    </w:p>
    <w:p w:rsidR="007D097B" w:rsidRPr="00887CC9" w:rsidRDefault="007D097B" w:rsidP="00126D79"/>
    <w:p w:rsidR="009F7229" w:rsidRPr="00887CC9" w:rsidRDefault="009F7229" w:rsidP="00126D79">
      <w:r w:rsidRPr="00887CC9">
        <w:t xml:space="preserve">The following is the report of the Board of Assessors to the </w:t>
      </w:r>
      <w:r w:rsidR="000A1F07">
        <w:t>Select Board</w:t>
      </w:r>
      <w:r w:rsidR="00CB5B13" w:rsidRPr="00887CC9">
        <w:t xml:space="preserve">.  </w:t>
      </w:r>
    </w:p>
    <w:p w:rsidR="009F7229" w:rsidRPr="00887CC9" w:rsidRDefault="009F7229">
      <w:pPr>
        <w:jc w:val="both"/>
      </w:pPr>
    </w:p>
    <w:p w:rsidR="009F7229" w:rsidRPr="00887CC9" w:rsidRDefault="009F7229">
      <w:pPr>
        <w:jc w:val="both"/>
      </w:pPr>
    </w:p>
    <w:p w:rsidR="00483033" w:rsidRPr="00483033" w:rsidRDefault="009F7229" w:rsidP="00483033">
      <w:pPr>
        <w:pStyle w:val="Heading6"/>
        <w:numPr>
          <w:ilvl w:val="0"/>
          <w:numId w:val="1"/>
        </w:numPr>
      </w:pPr>
      <w:r w:rsidRPr="00887CC9">
        <w:rPr>
          <w:sz w:val="20"/>
        </w:rPr>
        <w:t xml:space="preserve">Total Assessed Values for Fiscal Year </w:t>
      </w:r>
      <w:r w:rsidR="004A5913">
        <w:rPr>
          <w:sz w:val="20"/>
        </w:rPr>
        <w:t>201</w:t>
      </w:r>
      <w:r w:rsidR="00F80FC8">
        <w:rPr>
          <w:sz w:val="20"/>
        </w:rPr>
        <w:t>8</w:t>
      </w:r>
    </w:p>
    <w:p w:rsidR="00264225" w:rsidRPr="00887CC9" w:rsidRDefault="00264225" w:rsidP="00264225"/>
    <w:p w:rsidR="00126D79" w:rsidRDefault="009F7229" w:rsidP="00126D79">
      <w:pPr>
        <w:ind w:firstLine="720"/>
      </w:pPr>
      <w:r w:rsidRPr="00887CC9">
        <w:t>The Board of Assessors must determine the classification of all rea</w:t>
      </w:r>
      <w:r w:rsidR="009F6D03" w:rsidRPr="00887CC9">
        <w:t xml:space="preserve">l property as of January 1, </w:t>
      </w:r>
      <w:r w:rsidR="007A59AD" w:rsidRPr="00887CC9">
        <w:t>201</w:t>
      </w:r>
      <w:r w:rsidR="00F80FC8">
        <w:t>7</w:t>
      </w:r>
      <w:r w:rsidR="009F6D03" w:rsidRPr="00887CC9">
        <w:t xml:space="preserve">, </w:t>
      </w:r>
      <w:r w:rsidRPr="00887CC9">
        <w:t xml:space="preserve">for </w:t>
      </w:r>
    </w:p>
    <w:p w:rsidR="009F7229" w:rsidRPr="00887CC9" w:rsidRDefault="00126D79" w:rsidP="00126D79">
      <w:r>
        <w:t>FY</w:t>
      </w:r>
      <w:r w:rsidR="004A5913">
        <w:t>201</w:t>
      </w:r>
      <w:r w:rsidR="00F80FC8">
        <w:t>8</w:t>
      </w:r>
      <w:r w:rsidR="009F7229" w:rsidRPr="00887CC9">
        <w:t>, in accordance with the definitions set forth in M.G.L</w:t>
      </w:r>
      <w:r w:rsidR="00CB5B13" w:rsidRPr="00887CC9">
        <w:t xml:space="preserve">.  </w:t>
      </w:r>
      <w:r w:rsidR="009F7229" w:rsidRPr="00887CC9">
        <w:t>Chapter 59, section 2A(b):</w:t>
      </w:r>
    </w:p>
    <w:p w:rsidR="009F7229" w:rsidRPr="00887CC9" w:rsidRDefault="009F7229" w:rsidP="00126D79">
      <w:pPr>
        <w:ind w:left="720"/>
      </w:pPr>
    </w:p>
    <w:p w:rsidR="009F7229" w:rsidRPr="00887CC9" w:rsidRDefault="009F7229">
      <w:pPr>
        <w:ind w:left="720"/>
        <w:jc w:val="both"/>
      </w:pPr>
      <w:r w:rsidRPr="00887CC9">
        <w:tab/>
      </w:r>
      <w:r w:rsidRPr="00887CC9">
        <w:tab/>
        <w:t>Class One</w:t>
      </w:r>
      <w:r w:rsidRPr="00887CC9">
        <w:tab/>
      </w:r>
      <w:r w:rsidRPr="00887CC9">
        <w:tab/>
        <w:t>Residential</w:t>
      </w:r>
    </w:p>
    <w:p w:rsidR="009F7229" w:rsidRPr="00887CC9" w:rsidRDefault="009F7229">
      <w:pPr>
        <w:ind w:left="720"/>
        <w:jc w:val="both"/>
      </w:pPr>
      <w:r w:rsidRPr="00887CC9">
        <w:tab/>
      </w:r>
      <w:r w:rsidRPr="00887CC9">
        <w:tab/>
        <w:t>Class Two</w:t>
      </w:r>
      <w:r w:rsidRPr="00887CC9">
        <w:tab/>
      </w:r>
      <w:r w:rsidRPr="00887CC9">
        <w:tab/>
        <w:t>Open Space</w:t>
      </w:r>
    </w:p>
    <w:p w:rsidR="009F7229" w:rsidRPr="00887CC9" w:rsidRDefault="009F7229">
      <w:pPr>
        <w:ind w:left="720"/>
        <w:jc w:val="both"/>
      </w:pPr>
      <w:r w:rsidRPr="00887CC9">
        <w:tab/>
      </w:r>
      <w:r w:rsidRPr="00887CC9">
        <w:tab/>
        <w:t>Class Three</w:t>
      </w:r>
      <w:r w:rsidRPr="00887CC9">
        <w:tab/>
      </w:r>
      <w:r w:rsidRPr="00887CC9">
        <w:tab/>
        <w:t>Commercial</w:t>
      </w:r>
    </w:p>
    <w:p w:rsidR="009F7229" w:rsidRPr="00887CC9" w:rsidRDefault="009F7229">
      <w:pPr>
        <w:ind w:left="720"/>
        <w:jc w:val="both"/>
      </w:pPr>
      <w:r w:rsidRPr="00887CC9">
        <w:tab/>
      </w:r>
      <w:r w:rsidRPr="00887CC9">
        <w:tab/>
        <w:t>Class Four</w:t>
      </w:r>
      <w:r w:rsidRPr="00887CC9">
        <w:tab/>
      </w:r>
      <w:r w:rsidRPr="00887CC9">
        <w:tab/>
        <w:t>Industrial</w:t>
      </w:r>
    </w:p>
    <w:p w:rsidR="009F7229" w:rsidRPr="00887CC9" w:rsidRDefault="009F7229">
      <w:pPr>
        <w:ind w:left="720"/>
        <w:jc w:val="both"/>
      </w:pPr>
    </w:p>
    <w:p w:rsidR="009F7229" w:rsidRPr="00887CC9" w:rsidRDefault="009F7229" w:rsidP="00126D79">
      <w:r w:rsidRPr="00887CC9">
        <w:tab/>
        <w:t>In addition, the value for all personal property</w:t>
      </w:r>
      <w:r w:rsidR="008E144C" w:rsidRPr="00887CC9">
        <w:t>, Class Five,</w:t>
      </w:r>
      <w:r w:rsidRPr="00887CC9">
        <w:t xml:space="preserve"> must be determined</w:t>
      </w:r>
      <w:r w:rsidR="00CB5B13" w:rsidRPr="00887CC9">
        <w:t xml:space="preserve">.  </w:t>
      </w:r>
      <w:r w:rsidR="00264225" w:rsidRPr="00887CC9">
        <w:t xml:space="preserve">The </w:t>
      </w:r>
      <w:r w:rsidR="00AB1950" w:rsidRPr="00887CC9">
        <w:t>classification, or use,</w:t>
      </w:r>
      <w:r w:rsidR="00264225" w:rsidRPr="00887CC9">
        <w:t xml:space="preserve"> </w:t>
      </w:r>
      <w:r w:rsidRPr="00887CC9">
        <w:t>codes are issued in accordance with the Department of Revenue, Bureau of Local Assessment guidelines</w:t>
      </w:r>
      <w:r w:rsidR="00CB5B13" w:rsidRPr="00887CC9">
        <w:t xml:space="preserve">.  </w:t>
      </w:r>
      <w:r w:rsidRPr="00887CC9">
        <w:t>A listing of the State Use Classification Codes is attached in Addendum 1 and th</w:t>
      </w:r>
      <w:r w:rsidR="00126D79">
        <w:t>e total valuation report</w:t>
      </w:r>
      <w:r w:rsidR="006663B4">
        <w:t xml:space="preserve"> (LA-4) </w:t>
      </w:r>
      <w:r w:rsidR="00126D79">
        <w:t>for FY</w:t>
      </w:r>
      <w:r w:rsidR="004A5913">
        <w:t>201</w:t>
      </w:r>
      <w:r w:rsidR="00F80FC8">
        <w:t>8</w:t>
      </w:r>
      <w:r w:rsidR="008E144C" w:rsidRPr="00887CC9">
        <w:t xml:space="preserve"> is attached in Addendum 2</w:t>
      </w:r>
      <w:r w:rsidR="006663B4">
        <w:t>.</w:t>
      </w:r>
    </w:p>
    <w:p w:rsidR="006421F0" w:rsidRPr="00887CC9" w:rsidRDefault="006421F0">
      <w:pPr>
        <w:jc w:val="both"/>
      </w:pPr>
    </w:p>
    <w:p w:rsidR="00D40BC1" w:rsidRPr="00887CC9" w:rsidRDefault="00126D79" w:rsidP="00D40BC1">
      <w:pPr>
        <w:ind w:firstLine="720"/>
        <w:jc w:val="both"/>
      </w:pPr>
      <w:r>
        <w:t>In FY</w:t>
      </w:r>
      <w:r w:rsidR="004A5913">
        <w:t>201</w:t>
      </w:r>
      <w:r w:rsidR="006663B4">
        <w:t>8</w:t>
      </w:r>
      <w:r w:rsidR="00D40BC1" w:rsidRPr="00887CC9">
        <w:t>, the town data and values have been affected by the following items:</w:t>
      </w:r>
    </w:p>
    <w:p w:rsidR="00D40BC1" w:rsidRPr="00887CC9" w:rsidRDefault="00D40BC1">
      <w:pPr>
        <w:jc w:val="both"/>
      </w:pPr>
    </w:p>
    <w:p w:rsidR="00D40BC1" w:rsidRPr="00887CC9" w:rsidRDefault="00E75792" w:rsidP="00D40BC1">
      <w:pPr>
        <w:pStyle w:val="BodyText3"/>
        <w:numPr>
          <w:ilvl w:val="0"/>
          <w:numId w:val="18"/>
        </w:numPr>
        <w:rPr>
          <w:b/>
          <w:sz w:val="20"/>
        </w:rPr>
      </w:pPr>
      <w:r w:rsidRPr="00887CC9">
        <w:rPr>
          <w:b/>
          <w:sz w:val="20"/>
        </w:rPr>
        <w:t>Revaluation</w:t>
      </w:r>
      <w:r w:rsidR="00C3792C" w:rsidRPr="00887CC9">
        <w:rPr>
          <w:b/>
          <w:sz w:val="20"/>
        </w:rPr>
        <w:t>/</w:t>
      </w:r>
      <w:r w:rsidR="0076269D">
        <w:rPr>
          <w:b/>
          <w:sz w:val="20"/>
        </w:rPr>
        <w:t xml:space="preserve">Re-certification </w:t>
      </w:r>
      <w:r w:rsidR="00C3792C" w:rsidRPr="00887CC9">
        <w:rPr>
          <w:b/>
          <w:sz w:val="20"/>
        </w:rPr>
        <w:t>Adjustment</w:t>
      </w:r>
    </w:p>
    <w:p w:rsidR="00D40BC1" w:rsidRPr="00887CC9" w:rsidRDefault="00D40BC1" w:rsidP="00D40BC1">
      <w:pPr>
        <w:pStyle w:val="BodyText3"/>
        <w:rPr>
          <w:b/>
          <w:sz w:val="20"/>
        </w:rPr>
      </w:pPr>
    </w:p>
    <w:p w:rsidR="009F7229" w:rsidRDefault="00D40BC1" w:rsidP="00126D79">
      <w:pPr>
        <w:pStyle w:val="BodyText3"/>
        <w:ind w:left="720" w:firstLine="720"/>
        <w:jc w:val="left"/>
        <w:rPr>
          <w:sz w:val="20"/>
        </w:rPr>
      </w:pPr>
      <w:r w:rsidRPr="00887CC9">
        <w:rPr>
          <w:sz w:val="20"/>
        </w:rPr>
        <w:t>P</w:t>
      </w:r>
      <w:r w:rsidR="009F7229" w:rsidRPr="00887CC9">
        <w:rPr>
          <w:sz w:val="20"/>
        </w:rPr>
        <w:t xml:space="preserve">er the Department of Revenue’s guidelines, the assessing cycle requires that all parcels, exempt and taxable, be visited </w:t>
      </w:r>
      <w:r w:rsidR="000178FA" w:rsidRPr="00887CC9">
        <w:rPr>
          <w:sz w:val="20"/>
        </w:rPr>
        <w:t xml:space="preserve">at least </w:t>
      </w:r>
      <w:r w:rsidR="004626F9">
        <w:rPr>
          <w:sz w:val="20"/>
        </w:rPr>
        <w:t xml:space="preserve">once </w:t>
      </w:r>
      <w:r w:rsidR="009F7229" w:rsidRPr="00887CC9">
        <w:rPr>
          <w:sz w:val="20"/>
        </w:rPr>
        <w:t xml:space="preserve">every </w:t>
      </w:r>
      <w:r w:rsidR="00264225" w:rsidRPr="00887CC9">
        <w:rPr>
          <w:sz w:val="20"/>
        </w:rPr>
        <w:t>9</w:t>
      </w:r>
      <w:r w:rsidR="009F7229" w:rsidRPr="00887CC9">
        <w:rPr>
          <w:sz w:val="20"/>
        </w:rPr>
        <w:t xml:space="preserve"> years, that values be determined </w:t>
      </w:r>
      <w:r w:rsidR="004626F9">
        <w:rPr>
          <w:sz w:val="20"/>
        </w:rPr>
        <w:t xml:space="preserve">at market value </w:t>
      </w:r>
      <w:r w:rsidR="009F7229" w:rsidRPr="00887CC9">
        <w:rPr>
          <w:sz w:val="20"/>
        </w:rPr>
        <w:t xml:space="preserve">every year, and that the Department of Revenue </w:t>
      </w:r>
      <w:r w:rsidR="006421F0" w:rsidRPr="00887CC9">
        <w:rPr>
          <w:sz w:val="20"/>
        </w:rPr>
        <w:t>recertify</w:t>
      </w:r>
      <w:r w:rsidR="009F7229" w:rsidRPr="00887CC9">
        <w:rPr>
          <w:sz w:val="20"/>
        </w:rPr>
        <w:t xml:space="preserve"> values every </w:t>
      </w:r>
      <w:r w:rsidR="006663B4">
        <w:rPr>
          <w:sz w:val="20"/>
        </w:rPr>
        <w:t>five</w:t>
      </w:r>
      <w:r w:rsidR="009F7229" w:rsidRPr="00887CC9">
        <w:rPr>
          <w:sz w:val="20"/>
        </w:rPr>
        <w:t xml:space="preserve"> years</w:t>
      </w:r>
      <w:r w:rsidR="00CB5B13" w:rsidRPr="00887CC9">
        <w:rPr>
          <w:sz w:val="20"/>
        </w:rPr>
        <w:t xml:space="preserve">.  </w:t>
      </w:r>
      <w:r w:rsidR="006421F0" w:rsidRPr="00887CC9">
        <w:rPr>
          <w:sz w:val="20"/>
        </w:rPr>
        <w:t xml:space="preserve">The last recertification year was </w:t>
      </w:r>
      <w:r w:rsidR="009F7229" w:rsidRPr="00887CC9">
        <w:rPr>
          <w:sz w:val="20"/>
        </w:rPr>
        <w:t>F</w:t>
      </w:r>
      <w:r w:rsidR="00C94A7A" w:rsidRPr="00887CC9">
        <w:rPr>
          <w:sz w:val="20"/>
        </w:rPr>
        <w:t>Y</w:t>
      </w:r>
      <w:r w:rsidR="009F6D03" w:rsidRPr="00887CC9">
        <w:rPr>
          <w:sz w:val="20"/>
        </w:rPr>
        <w:t>20</w:t>
      </w:r>
      <w:r w:rsidR="00F10A52">
        <w:rPr>
          <w:sz w:val="20"/>
        </w:rPr>
        <w:t>1</w:t>
      </w:r>
      <w:r w:rsidR="004A1D19">
        <w:rPr>
          <w:sz w:val="20"/>
        </w:rPr>
        <w:t>5</w:t>
      </w:r>
      <w:r w:rsidR="0076269D">
        <w:rPr>
          <w:sz w:val="20"/>
        </w:rPr>
        <w:t>, which means this year Fy 201</w:t>
      </w:r>
      <w:r w:rsidR="006663B4">
        <w:rPr>
          <w:sz w:val="20"/>
        </w:rPr>
        <w:t>8</w:t>
      </w:r>
      <w:r w:rsidR="0076269D">
        <w:rPr>
          <w:sz w:val="20"/>
        </w:rPr>
        <w:t xml:space="preserve"> is a</w:t>
      </w:r>
      <w:r w:rsidR="006663B4">
        <w:rPr>
          <w:sz w:val="20"/>
        </w:rPr>
        <w:t>lso a certification year.  The year is the last year of the three year cycle.  The law was changed as part of the Governor’s municipal reform and has been extended to 5 years.</w:t>
      </w:r>
      <w:r w:rsidR="004A1D19">
        <w:rPr>
          <w:sz w:val="20"/>
        </w:rPr>
        <w:t xml:space="preserve"> </w:t>
      </w:r>
      <w:r w:rsidR="00E75792" w:rsidRPr="00887CC9">
        <w:rPr>
          <w:sz w:val="20"/>
        </w:rPr>
        <w:t xml:space="preserve"> </w:t>
      </w:r>
    </w:p>
    <w:p w:rsidR="00126D79" w:rsidRDefault="00126D79" w:rsidP="00FC369F">
      <w:pPr>
        <w:pStyle w:val="BodyText3"/>
        <w:ind w:left="720" w:firstLine="720"/>
        <w:rPr>
          <w:sz w:val="20"/>
        </w:rPr>
      </w:pPr>
    </w:p>
    <w:p w:rsidR="00126D79" w:rsidRDefault="00126D79" w:rsidP="00FC369F">
      <w:pPr>
        <w:pStyle w:val="BodyText3"/>
        <w:ind w:left="720" w:firstLine="720"/>
        <w:rPr>
          <w:sz w:val="20"/>
        </w:rPr>
      </w:pPr>
    </w:p>
    <w:p w:rsidR="003B5343" w:rsidRPr="00887CC9" w:rsidRDefault="003B5343" w:rsidP="00FC369F">
      <w:pPr>
        <w:pStyle w:val="BodyText3"/>
        <w:ind w:left="720" w:firstLine="720"/>
        <w:rPr>
          <w:sz w:val="20"/>
        </w:rPr>
      </w:pPr>
    </w:p>
    <w:p w:rsidR="009F7229" w:rsidRPr="00887CC9" w:rsidRDefault="009F7229" w:rsidP="006421F0">
      <w:pPr>
        <w:jc w:val="both"/>
      </w:pPr>
    </w:p>
    <w:p w:rsidR="009F7229" w:rsidRPr="00887CC9" w:rsidRDefault="009F7229" w:rsidP="00D40BC1">
      <w:pPr>
        <w:numPr>
          <w:ilvl w:val="0"/>
          <w:numId w:val="18"/>
        </w:numPr>
        <w:jc w:val="both"/>
        <w:rPr>
          <w:b/>
        </w:rPr>
      </w:pPr>
      <w:r w:rsidRPr="00887CC9">
        <w:rPr>
          <w:b/>
        </w:rPr>
        <w:t>Abatements and Adjustments</w:t>
      </w:r>
    </w:p>
    <w:p w:rsidR="009F7229" w:rsidRPr="00887CC9" w:rsidRDefault="009F7229">
      <w:pPr>
        <w:ind w:left="1440"/>
        <w:jc w:val="both"/>
      </w:pPr>
    </w:p>
    <w:p w:rsidR="009F7229" w:rsidRPr="00887CC9" w:rsidRDefault="00891A3C" w:rsidP="00126D79">
      <w:pPr>
        <w:ind w:left="720" w:firstLine="720"/>
      </w:pPr>
      <w:r w:rsidRPr="00887CC9">
        <w:t>In FY</w:t>
      </w:r>
      <w:r w:rsidR="007A59AD" w:rsidRPr="00887CC9">
        <w:t>201</w:t>
      </w:r>
      <w:r w:rsidR="006663B4">
        <w:t>7</w:t>
      </w:r>
      <w:r w:rsidR="009F7229" w:rsidRPr="00887CC9">
        <w:t xml:space="preserve"> Concord taxpayers filed </w:t>
      </w:r>
      <w:r w:rsidR="006B2F53">
        <w:t>4</w:t>
      </w:r>
      <w:r w:rsidR="00E15975">
        <w:t>5</w:t>
      </w:r>
      <w:r w:rsidR="009F7229" w:rsidRPr="00887CC9">
        <w:t xml:space="preserve"> applications</w:t>
      </w:r>
      <w:r w:rsidR="00C94A7A" w:rsidRPr="00887CC9">
        <w:t xml:space="preserve"> for abatement</w:t>
      </w:r>
      <w:r w:rsidR="00872E39" w:rsidRPr="00887CC9">
        <w:t xml:space="preserve"> during the regular abatement period</w:t>
      </w:r>
      <w:r w:rsidR="00CB5B13" w:rsidRPr="00887CC9">
        <w:t xml:space="preserve">.  </w:t>
      </w:r>
      <w:r w:rsidR="009F7229" w:rsidRPr="00887CC9">
        <w:t>The</w:t>
      </w:r>
      <w:r w:rsidR="006421F0" w:rsidRPr="00887CC9">
        <w:t xml:space="preserve"> total </w:t>
      </w:r>
      <w:r w:rsidR="008E144C" w:rsidRPr="00887CC9">
        <w:t>number of abatements granted was</w:t>
      </w:r>
      <w:r w:rsidR="00182261">
        <w:t xml:space="preserve"> </w:t>
      </w:r>
      <w:r w:rsidR="006B2F53">
        <w:t>29</w:t>
      </w:r>
      <w:r w:rsidR="00CB5B13" w:rsidRPr="00887CC9">
        <w:t xml:space="preserve">. </w:t>
      </w:r>
      <w:r w:rsidR="007311E0" w:rsidRPr="00887CC9">
        <w:t xml:space="preserve"> </w:t>
      </w:r>
      <w:r w:rsidR="009F7229" w:rsidRPr="00887CC9">
        <w:t xml:space="preserve">The </w:t>
      </w:r>
      <w:r w:rsidR="009A5304" w:rsidRPr="00887CC9">
        <w:t xml:space="preserve">dollar </w:t>
      </w:r>
      <w:r w:rsidR="00A035D3" w:rsidRPr="00887CC9">
        <w:t>amount</w:t>
      </w:r>
      <w:r w:rsidR="009F7229" w:rsidRPr="00887CC9">
        <w:t xml:space="preserve"> of abate</w:t>
      </w:r>
      <w:r w:rsidRPr="00887CC9">
        <w:t>ments granted during the FY</w:t>
      </w:r>
      <w:r w:rsidR="007A59AD" w:rsidRPr="00887CC9">
        <w:t>201</w:t>
      </w:r>
      <w:r w:rsidR="006B2F53">
        <w:t>7</w:t>
      </w:r>
      <w:r w:rsidR="009F7229" w:rsidRPr="00887CC9">
        <w:t xml:space="preserve"> abatement hearings totaled $</w:t>
      </w:r>
      <w:r w:rsidR="00331DAE">
        <w:t>4,</w:t>
      </w:r>
      <w:r w:rsidR="006B2F53">
        <w:t>907</w:t>
      </w:r>
      <w:r w:rsidR="00331DAE">
        <w:t>,</w:t>
      </w:r>
      <w:r w:rsidR="006B2F53">
        <w:t>494</w:t>
      </w:r>
      <w:r w:rsidRPr="00887CC9">
        <w:t xml:space="preserve"> for real estate, which is $</w:t>
      </w:r>
      <w:r w:rsidR="00331DAE">
        <w:t>6</w:t>
      </w:r>
      <w:r w:rsidR="006B2F53">
        <w:t>9,048.47</w:t>
      </w:r>
      <w:r w:rsidRPr="00887CC9">
        <w:t xml:space="preserve"> in tax dollars</w:t>
      </w:r>
      <w:r w:rsidR="009958E6">
        <w:t>.</w:t>
      </w:r>
      <w:r w:rsidR="00CB5B13" w:rsidRPr="00887CC9">
        <w:t xml:space="preserve">  </w:t>
      </w:r>
      <w:r w:rsidR="009F7229" w:rsidRPr="00887CC9">
        <w:t>The majority of abated taxes w</w:t>
      </w:r>
      <w:r w:rsidR="00C94A7A" w:rsidRPr="00887CC9">
        <w:t>as attribut</w:t>
      </w:r>
      <w:r w:rsidR="009F7229" w:rsidRPr="00887CC9">
        <w:t xml:space="preserve">ed to </w:t>
      </w:r>
      <w:r w:rsidR="00EC6D55">
        <w:t>small corrections in property listings a</w:t>
      </w:r>
      <w:r w:rsidR="001373B2" w:rsidRPr="00887CC9">
        <w:t>nd most resulted in permanent adjustments to the property data</w:t>
      </w:r>
      <w:r w:rsidR="00CB5B13" w:rsidRPr="00887CC9">
        <w:t xml:space="preserve">.  </w:t>
      </w:r>
      <w:r w:rsidR="008E0B9F" w:rsidRPr="00887CC9">
        <w:t>There have been</w:t>
      </w:r>
      <w:r w:rsidR="00B61764" w:rsidRPr="00887CC9">
        <w:t xml:space="preserve"> </w:t>
      </w:r>
      <w:r w:rsidR="00331DAE">
        <w:t>three</w:t>
      </w:r>
      <w:r w:rsidR="008E0B9F" w:rsidRPr="00887CC9">
        <w:t xml:space="preserve"> </w:t>
      </w:r>
      <w:r w:rsidRPr="00887CC9">
        <w:t>FY201</w:t>
      </w:r>
      <w:r w:rsidR="006B2F53">
        <w:t>7</w:t>
      </w:r>
      <w:r w:rsidR="00620CEC" w:rsidRPr="00887CC9">
        <w:t xml:space="preserve"> appeals</w:t>
      </w:r>
      <w:r w:rsidR="001A25DE" w:rsidRPr="00887CC9">
        <w:t xml:space="preserve"> filed with</w:t>
      </w:r>
      <w:r w:rsidR="00620CEC" w:rsidRPr="00887CC9">
        <w:t xml:space="preserve"> the </w:t>
      </w:r>
      <w:r w:rsidR="00CA79B4" w:rsidRPr="00887CC9">
        <w:t>Appellate Tax Board (</w:t>
      </w:r>
      <w:r w:rsidR="00620CEC" w:rsidRPr="00887CC9">
        <w:t>ATB</w:t>
      </w:r>
      <w:r w:rsidR="00CA79B4" w:rsidRPr="00887CC9">
        <w:t>)</w:t>
      </w:r>
      <w:r w:rsidR="009958E6">
        <w:t>.</w:t>
      </w:r>
    </w:p>
    <w:p w:rsidR="00C3792C" w:rsidRPr="00887CC9" w:rsidRDefault="00C3792C" w:rsidP="00126D79">
      <w:pPr>
        <w:spacing w:before="240"/>
        <w:ind w:left="720" w:firstLine="720"/>
      </w:pPr>
      <w:r w:rsidRPr="00887CC9">
        <w:t xml:space="preserve">In order to meet the DOR’s cyclical inspection requirement, </w:t>
      </w:r>
      <w:r w:rsidR="00130844" w:rsidRPr="00887CC9">
        <w:t>assessing staff</w:t>
      </w:r>
      <w:r w:rsidR="00126D79">
        <w:t xml:space="preserve"> seeks to</w:t>
      </w:r>
      <w:r w:rsidR="00971295" w:rsidRPr="00887CC9">
        <w:t xml:space="preserve"> conduct a complete inspection of a property regardless of the reason for the visit (building permit, sale, data verification, abatement</w:t>
      </w:r>
      <w:r w:rsidR="009E2C39">
        <w:t xml:space="preserve"> application</w:t>
      </w:r>
      <w:r w:rsidR="00126D79">
        <w:t xml:space="preserve">, </w:t>
      </w:r>
      <w:r w:rsidR="006B2F53">
        <w:t>or</w:t>
      </w:r>
      <w:r w:rsidR="00126D79">
        <w:t xml:space="preserve"> cyclical inspection, </w:t>
      </w:r>
      <w:r w:rsidR="00971295" w:rsidRPr="00887CC9">
        <w:t>etc.)</w:t>
      </w:r>
      <w:r w:rsidRPr="00887CC9">
        <w:t xml:space="preserve">.  </w:t>
      </w:r>
      <w:r w:rsidR="00971295" w:rsidRPr="00887CC9">
        <w:t>Every year t</w:t>
      </w:r>
      <w:r w:rsidR="00130844" w:rsidRPr="00887CC9">
        <w:t>here are</w:t>
      </w:r>
      <w:r w:rsidRPr="00887CC9">
        <w:t xml:space="preserve"> many changes entered into the property records as a result of these inspections.</w:t>
      </w:r>
      <w:r w:rsidR="00187505" w:rsidRPr="00887CC9">
        <w:t xml:space="preserve">  Our records show that there were </w:t>
      </w:r>
      <w:r w:rsidR="007A5CC2">
        <w:t>716</w:t>
      </w:r>
      <w:r w:rsidR="00187505" w:rsidRPr="00887CC9">
        <w:t xml:space="preserve"> </w:t>
      </w:r>
      <w:r w:rsidR="003B5343">
        <w:t>inspections</w:t>
      </w:r>
      <w:r w:rsidR="00187505" w:rsidRPr="00887CC9">
        <w:t xml:space="preserve"> </w:t>
      </w:r>
      <w:r w:rsidR="00621473">
        <w:t>for</w:t>
      </w:r>
      <w:r w:rsidR="00187505" w:rsidRPr="00887CC9">
        <w:t xml:space="preserve"> FY201</w:t>
      </w:r>
      <w:r w:rsidR="006B2F53">
        <w:t>8</w:t>
      </w:r>
      <w:r w:rsidR="00187505" w:rsidRPr="00887CC9">
        <w:t xml:space="preserve">, </w:t>
      </w:r>
      <w:r w:rsidR="004626F9">
        <w:t>(</w:t>
      </w:r>
      <w:r w:rsidR="007A5CC2">
        <w:t xml:space="preserve">just over </w:t>
      </w:r>
      <w:r w:rsidR="0078561C">
        <w:t>1</w:t>
      </w:r>
      <w:r w:rsidR="007A5CC2">
        <w:t>1</w:t>
      </w:r>
      <w:r w:rsidR="0078561C">
        <w:t>%</w:t>
      </w:r>
      <w:r w:rsidR="004626F9">
        <w:t xml:space="preserve"> of all real estate parcels)</w:t>
      </w:r>
      <w:r w:rsidR="00187505" w:rsidRPr="00887CC9">
        <w:t xml:space="preserve">.  </w:t>
      </w:r>
      <w:r w:rsidR="000A1F07">
        <w:t>O</w:t>
      </w:r>
      <w:r w:rsidR="00182261">
        <w:t>f</w:t>
      </w:r>
      <w:r w:rsidR="000A1F07">
        <w:t xml:space="preserve"> these, </w:t>
      </w:r>
      <w:r w:rsidR="007A5CC2">
        <w:t>340</w:t>
      </w:r>
      <w:r w:rsidR="00786312">
        <w:t xml:space="preserve"> were full inspections, inside and out.  </w:t>
      </w:r>
      <w:r w:rsidR="00187505" w:rsidRPr="00887CC9">
        <w:t>Th</w:t>
      </w:r>
      <w:r w:rsidR="00786312">
        <w:t xml:space="preserve">ese numbers </w:t>
      </w:r>
      <w:r w:rsidR="00187505" w:rsidRPr="00887CC9">
        <w:t>do not include when a field review is done from the street, which can include one parcel or many.</w:t>
      </w:r>
      <w:r w:rsidR="009E2C39">
        <w:t xml:space="preserve">  </w:t>
      </w:r>
      <w:r w:rsidR="00786312">
        <w:t xml:space="preserve">A field review was performed on all </w:t>
      </w:r>
      <w:r w:rsidR="007A5CC2">
        <w:t xml:space="preserve">properties as part of the </w:t>
      </w:r>
      <w:r w:rsidR="009B5B5E">
        <w:t xml:space="preserve">FY 20178 </w:t>
      </w:r>
      <w:r w:rsidR="007A5CC2">
        <w:t xml:space="preserve">recertification program.  </w:t>
      </w:r>
      <w:r w:rsidR="009E2C39">
        <w:t>A field review usually does not require entering the property and therefore does not meet the DOR’s standard in order to qualify as a cyclical inspection.</w:t>
      </w:r>
    </w:p>
    <w:p w:rsidR="009F7229" w:rsidRPr="00887CC9" w:rsidRDefault="009F7229">
      <w:pPr>
        <w:ind w:left="720" w:firstLine="720"/>
        <w:jc w:val="both"/>
      </w:pPr>
    </w:p>
    <w:p w:rsidR="009F7229" w:rsidRPr="00887CC9" w:rsidRDefault="009F7229">
      <w:pPr>
        <w:pStyle w:val="Heading4"/>
        <w:numPr>
          <w:ilvl w:val="0"/>
          <w:numId w:val="18"/>
        </w:numPr>
        <w:rPr>
          <w:b/>
          <w:sz w:val="20"/>
        </w:rPr>
      </w:pPr>
      <w:r w:rsidRPr="00887CC9">
        <w:rPr>
          <w:b/>
          <w:sz w:val="20"/>
        </w:rPr>
        <w:t>New Growth</w:t>
      </w:r>
    </w:p>
    <w:p w:rsidR="009F7229" w:rsidRPr="00887CC9" w:rsidRDefault="009F7229">
      <w:pPr>
        <w:ind w:left="720"/>
        <w:jc w:val="both"/>
      </w:pPr>
    </w:p>
    <w:p w:rsidR="00F27CC5" w:rsidRPr="00887CC9" w:rsidRDefault="009F7229" w:rsidP="00126D79">
      <w:pPr>
        <w:ind w:left="720" w:firstLine="720"/>
      </w:pPr>
      <w:r w:rsidRPr="00887CC9">
        <w:t>The Annu</w:t>
      </w:r>
      <w:r w:rsidR="00C3792C" w:rsidRPr="00887CC9">
        <w:t>al Town Meeting in April of 2001</w:t>
      </w:r>
      <w:r w:rsidRPr="00887CC9">
        <w:t xml:space="preserve"> voted to </w:t>
      </w:r>
      <w:r w:rsidR="009E2C39">
        <w:t xml:space="preserve">accept a 1989 state statute that </w:t>
      </w:r>
      <w:r w:rsidRPr="00887CC9">
        <w:t>change</w:t>
      </w:r>
      <w:r w:rsidR="009E2C39">
        <w:t>s</w:t>
      </w:r>
      <w:r w:rsidRPr="00887CC9">
        <w:t xml:space="preserve"> the new growth date from January 1</w:t>
      </w:r>
      <w:r w:rsidRPr="00887CC9">
        <w:rPr>
          <w:vertAlign w:val="superscript"/>
        </w:rPr>
        <w:t>st</w:t>
      </w:r>
      <w:r w:rsidRPr="00887CC9">
        <w:t xml:space="preserve"> to June 30</w:t>
      </w:r>
      <w:r w:rsidRPr="00887CC9">
        <w:rPr>
          <w:vertAlign w:val="superscript"/>
        </w:rPr>
        <w:t>th</w:t>
      </w:r>
      <w:r w:rsidR="00CB5B13" w:rsidRPr="00887CC9">
        <w:t xml:space="preserve">.  </w:t>
      </w:r>
      <w:r w:rsidR="006561D5" w:rsidRPr="00887CC9">
        <w:t xml:space="preserve">Thus, </w:t>
      </w:r>
      <w:r w:rsidR="00187505" w:rsidRPr="00887CC9">
        <w:t xml:space="preserve">the valuation as a result of </w:t>
      </w:r>
      <w:r w:rsidR="006561D5" w:rsidRPr="00887CC9">
        <w:t>new construction or any other physical changes for FY</w:t>
      </w:r>
      <w:r w:rsidR="004A5913">
        <w:t>201</w:t>
      </w:r>
      <w:r w:rsidR="00C5766B">
        <w:t>8</w:t>
      </w:r>
      <w:r w:rsidR="00187505" w:rsidRPr="00887CC9">
        <w:t xml:space="preserve"> covers</w:t>
      </w:r>
      <w:r w:rsidR="006561D5" w:rsidRPr="00887CC9">
        <w:t xml:space="preserve"> the time frame from July</w:t>
      </w:r>
      <w:r w:rsidR="00971295" w:rsidRPr="00887CC9">
        <w:t xml:space="preserve"> 1, 20</w:t>
      </w:r>
      <w:r w:rsidR="00B07E5B">
        <w:t>1</w:t>
      </w:r>
      <w:r w:rsidR="00C5766B">
        <w:t>6</w:t>
      </w:r>
      <w:r w:rsidR="006561D5" w:rsidRPr="00887CC9">
        <w:t xml:space="preserve"> to June 30, </w:t>
      </w:r>
      <w:r w:rsidR="007A59AD" w:rsidRPr="00887CC9">
        <w:t>201</w:t>
      </w:r>
      <w:r w:rsidR="00C5766B">
        <w:t>7</w:t>
      </w:r>
      <w:r w:rsidR="006561D5" w:rsidRPr="00887CC9">
        <w:t>.</w:t>
      </w:r>
    </w:p>
    <w:p w:rsidR="009F7229" w:rsidRPr="00887CC9" w:rsidRDefault="00F27CC5" w:rsidP="00126D79">
      <w:pPr>
        <w:ind w:left="720" w:firstLine="720"/>
      </w:pPr>
      <w:r w:rsidRPr="00887CC9">
        <w:t xml:space="preserve"> </w:t>
      </w:r>
    </w:p>
    <w:p w:rsidR="00E364F0" w:rsidRDefault="009F7229" w:rsidP="00FB6C1E">
      <w:pPr>
        <w:ind w:left="720" w:firstLine="720"/>
      </w:pPr>
      <w:r w:rsidRPr="00887CC9">
        <w:t xml:space="preserve">The new growth </w:t>
      </w:r>
      <w:r w:rsidR="000178FA" w:rsidRPr="00887CC9">
        <w:t>represent</w:t>
      </w:r>
      <w:r w:rsidR="00DD3A1C">
        <w:t xml:space="preserve">s, new houses, </w:t>
      </w:r>
      <w:r w:rsidR="000178FA" w:rsidRPr="00887CC9">
        <w:t>additions or changes to a property</w:t>
      </w:r>
      <w:r w:rsidR="00DD3A1C">
        <w:t xml:space="preserve"> that </w:t>
      </w:r>
      <w:r w:rsidR="000178FA" w:rsidRPr="00887CC9">
        <w:t>result in added value to that property</w:t>
      </w:r>
      <w:r w:rsidR="004B2304">
        <w:t xml:space="preserve">. The growth this year </w:t>
      </w:r>
      <w:r w:rsidR="00A24491" w:rsidRPr="00887CC9">
        <w:t xml:space="preserve">was </w:t>
      </w:r>
      <w:r w:rsidR="00BA7C16">
        <w:t>higher</w:t>
      </w:r>
      <w:r w:rsidR="00971295" w:rsidRPr="00887CC9">
        <w:t xml:space="preserve"> </w:t>
      </w:r>
      <w:r w:rsidR="00FB6C1E">
        <w:t xml:space="preserve">as </w:t>
      </w:r>
      <w:r w:rsidR="00971295" w:rsidRPr="00887CC9">
        <w:t xml:space="preserve">compared </w:t>
      </w:r>
      <w:r w:rsidR="00A24491" w:rsidRPr="00887CC9">
        <w:t>to</w:t>
      </w:r>
      <w:r w:rsidR="00971295" w:rsidRPr="00887CC9">
        <w:t xml:space="preserve"> </w:t>
      </w:r>
      <w:r w:rsidR="00A672DA">
        <w:t xml:space="preserve">the </w:t>
      </w:r>
      <w:r w:rsidR="000178FA" w:rsidRPr="00887CC9">
        <w:t>prior year</w:t>
      </w:r>
      <w:r w:rsidR="00FB6C1E">
        <w:t xml:space="preserve">, </w:t>
      </w:r>
      <w:r w:rsidR="00422F33">
        <w:t xml:space="preserve">primarily </w:t>
      </w:r>
      <w:r w:rsidR="00971295" w:rsidRPr="00887CC9">
        <w:t xml:space="preserve">due </w:t>
      </w:r>
      <w:r w:rsidR="004B2304">
        <w:t>to a</w:t>
      </w:r>
      <w:r w:rsidR="00422F33">
        <w:t>n</w:t>
      </w:r>
      <w:r w:rsidR="00BA7C16">
        <w:t xml:space="preserve"> </w:t>
      </w:r>
      <w:r w:rsidR="00422F33">
        <w:t>increase in the volume of building permits, t</w:t>
      </w:r>
      <w:r w:rsidR="004B2304">
        <w:t xml:space="preserve">he </w:t>
      </w:r>
      <w:r w:rsidR="00DD3A1C">
        <w:t xml:space="preserve">completion of the </w:t>
      </w:r>
      <w:r w:rsidR="00422F33">
        <w:t>new hotel at 320 Baker Avenue and</w:t>
      </w:r>
      <w:r w:rsidR="00DD3A1C">
        <w:t xml:space="preserve"> the new condominiums at Black Birch Lane and Black Horse Lane.  The </w:t>
      </w:r>
      <w:r w:rsidR="00422F33">
        <w:t xml:space="preserve">growth included </w:t>
      </w:r>
      <w:r w:rsidR="00227071">
        <w:t>51</w:t>
      </w:r>
      <w:r w:rsidR="00422F33">
        <w:t xml:space="preserve"> new homes</w:t>
      </w:r>
      <w:r w:rsidR="00E364F0">
        <w:t>, 4</w:t>
      </w:r>
      <w:r w:rsidR="00227071">
        <w:t>7</w:t>
      </w:r>
      <w:r w:rsidR="00E364F0">
        <w:t xml:space="preserve"> major renovations and </w:t>
      </w:r>
      <w:r w:rsidR="00227071">
        <w:t>2</w:t>
      </w:r>
      <w:r w:rsidR="00E364F0">
        <w:t xml:space="preserve">4 major additions.   </w:t>
      </w:r>
      <w:r w:rsidR="00802EB5" w:rsidRPr="00887CC9">
        <w:t xml:space="preserve">Personal </w:t>
      </w:r>
      <w:r w:rsidR="000F658A">
        <w:t>P</w:t>
      </w:r>
      <w:r w:rsidR="00802EB5" w:rsidRPr="00887CC9">
        <w:t>roperty new growth is largely</w:t>
      </w:r>
      <w:r w:rsidR="00282E1D">
        <w:t xml:space="preserve"> </w:t>
      </w:r>
      <w:r w:rsidR="00802EB5" w:rsidRPr="00887CC9">
        <w:t xml:space="preserve">due to the </w:t>
      </w:r>
      <w:r w:rsidR="00E364F0">
        <w:t xml:space="preserve">addition of property on </w:t>
      </w:r>
      <w:r w:rsidR="00D760A1">
        <w:t xml:space="preserve">three </w:t>
      </w:r>
      <w:r w:rsidR="00E364F0">
        <w:t>accounts Comcast, Kayak, and Welch Foods</w:t>
      </w:r>
      <w:r w:rsidR="00D760A1">
        <w:t>, Inc.</w:t>
      </w:r>
    </w:p>
    <w:p w:rsidR="00227071" w:rsidRDefault="00227071" w:rsidP="00FB6C1E">
      <w:pPr>
        <w:ind w:left="720" w:firstLine="720"/>
      </w:pPr>
    </w:p>
    <w:p w:rsidR="009F7229" w:rsidRPr="00887CC9" w:rsidRDefault="009F7229" w:rsidP="00126D79">
      <w:pPr>
        <w:ind w:left="720" w:firstLine="720"/>
      </w:pPr>
    </w:p>
    <w:p w:rsidR="009F7229" w:rsidRPr="00887CC9" w:rsidRDefault="00AE2EAD" w:rsidP="00126D79">
      <w:pPr>
        <w:ind w:left="720" w:firstLine="720"/>
      </w:pPr>
      <w:r w:rsidRPr="00887CC9">
        <w:t>The growth relevant</w:t>
      </w:r>
      <w:r w:rsidR="00350F04" w:rsidRPr="00887CC9">
        <w:t xml:space="preserve"> to</w:t>
      </w:r>
      <w:r w:rsidR="00126D79">
        <w:t xml:space="preserve"> FY</w:t>
      </w:r>
      <w:r w:rsidR="004A5913">
        <w:t>201</w:t>
      </w:r>
      <w:r w:rsidR="00D760A1">
        <w:t>8</w:t>
      </w:r>
      <w:r w:rsidR="009F7229" w:rsidRPr="00887CC9">
        <w:t xml:space="preserve"> was distributed among the four classes of real estate and personal property as follows:</w:t>
      </w:r>
    </w:p>
    <w:p w:rsidR="009F7229" w:rsidRPr="00887CC9" w:rsidRDefault="009F7229" w:rsidP="00A0639B">
      <w:pPr>
        <w:ind w:left="1440" w:firstLine="720"/>
      </w:pPr>
      <w:r w:rsidRPr="00887CC9">
        <w:t xml:space="preserve">                                                         </w:t>
      </w:r>
      <w:r w:rsidRPr="00887CC9">
        <w:tab/>
      </w:r>
      <w:r w:rsidR="00E23BC7" w:rsidRPr="00887CC9">
        <w:t xml:space="preserve">           </w:t>
      </w:r>
      <w:r w:rsidR="00294CD9" w:rsidRPr="00887CC9">
        <w:t xml:space="preserve"> </w:t>
      </w:r>
      <w:r w:rsidR="00E23BC7" w:rsidRPr="00887CC9">
        <w:tab/>
      </w:r>
      <w:r w:rsidR="00294CD9" w:rsidRPr="00887CC9">
        <w:t>L</w:t>
      </w:r>
      <w:r w:rsidR="00A035D3" w:rsidRPr="00887CC9">
        <w:t>evy Limit</w:t>
      </w:r>
      <w:r w:rsidR="00A0639B" w:rsidRPr="00887CC9">
        <w:t xml:space="preserve">      </w:t>
      </w:r>
      <w:r w:rsidR="00A035D3" w:rsidRPr="00887CC9">
        <w:t xml:space="preserve">    </w:t>
      </w:r>
      <w:r w:rsidRPr="00887CC9">
        <w:t xml:space="preserve">% </w:t>
      </w:r>
      <w:r w:rsidR="00A0639B" w:rsidRPr="00887CC9">
        <w:t xml:space="preserve">of </w:t>
      </w:r>
      <w:r w:rsidRPr="00887CC9">
        <w:t>Total</w:t>
      </w:r>
    </w:p>
    <w:p w:rsidR="009F7229" w:rsidRPr="00887CC9" w:rsidRDefault="009F7229">
      <w:r w:rsidRPr="00887CC9">
        <w:tab/>
      </w:r>
      <w:r w:rsidR="00A0639B" w:rsidRPr="00887CC9">
        <w:tab/>
      </w:r>
      <w:r w:rsidRPr="00887CC9">
        <w:tab/>
      </w:r>
      <w:r w:rsidRPr="00887CC9">
        <w:tab/>
      </w:r>
      <w:r w:rsidRPr="00887CC9">
        <w:tab/>
        <w:t xml:space="preserve">          </w:t>
      </w:r>
      <w:r w:rsidR="00F27CC5" w:rsidRPr="00887CC9">
        <w:rPr>
          <w:u w:val="single"/>
        </w:rPr>
        <w:t xml:space="preserve">  </w:t>
      </w:r>
      <w:r w:rsidR="00AE3E77" w:rsidRPr="00887CC9">
        <w:rPr>
          <w:u w:val="single"/>
        </w:rPr>
        <w:t xml:space="preserve">    </w:t>
      </w:r>
      <w:r w:rsidRPr="00887CC9">
        <w:rPr>
          <w:u w:val="single"/>
        </w:rPr>
        <w:t>Value</w:t>
      </w:r>
      <w:r w:rsidR="00F27CC5" w:rsidRPr="00887CC9">
        <w:rPr>
          <w:u w:val="single"/>
        </w:rPr>
        <w:t xml:space="preserve">      </w:t>
      </w:r>
      <w:r w:rsidR="00F27CC5" w:rsidRPr="00887CC9">
        <w:t xml:space="preserve">   </w:t>
      </w:r>
      <w:r w:rsidR="007C1C20" w:rsidRPr="00887CC9">
        <w:t xml:space="preserve">      </w:t>
      </w:r>
      <w:r w:rsidR="00294CD9" w:rsidRPr="00887CC9">
        <w:t xml:space="preserve"> </w:t>
      </w:r>
      <w:r w:rsidR="00E23BC7" w:rsidRPr="00887CC9">
        <w:tab/>
      </w:r>
      <w:r w:rsidR="00A035D3" w:rsidRPr="00887CC9">
        <w:rPr>
          <w:u w:val="single"/>
        </w:rPr>
        <w:t>Adjustment</w:t>
      </w:r>
      <w:r w:rsidRPr="00887CC9">
        <w:t xml:space="preserve">        </w:t>
      </w:r>
      <w:r w:rsidRPr="00887CC9">
        <w:rPr>
          <w:u w:val="single"/>
        </w:rPr>
        <w:t>New Growth</w:t>
      </w:r>
    </w:p>
    <w:p w:rsidR="009F7229" w:rsidRPr="00887CC9" w:rsidRDefault="009F7229"/>
    <w:p w:rsidR="009F7229" w:rsidRPr="00887CC9" w:rsidRDefault="009F7229">
      <w:r w:rsidRPr="00887CC9">
        <w:tab/>
      </w:r>
      <w:r w:rsidRPr="00887CC9">
        <w:tab/>
        <w:t>Class One, Residentia</w:t>
      </w:r>
      <w:r w:rsidR="00AE3E77" w:rsidRPr="00887CC9">
        <w:t xml:space="preserve">l             </w:t>
      </w:r>
      <w:r w:rsidR="00E23BC7" w:rsidRPr="00887CC9">
        <w:t xml:space="preserve">     </w:t>
      </w:r>
      <w:r w:rsidRPr="00887CC9">
        <w:t>$</w:t>
      </w:r>
      <w:r w:rsidR="00D760A1">
        <w:t>74,008,516</w:t>
      </w:r>
      <w:r w:rsidRPr="00887CC9">
        <w:t xml:space="preserve">  </w:t>
      </w:r>
      <w:r w:rsidR="00E23BC7" w:rsidRPr="00887CC9">
        <w:tab/>
      </w:r>
      <w:r w:rsidRPr="00887CC9">
        <w:t>$</w:t>
      </w:r>
      <w:r w:rsidR="005316F4">
        <w:t>1,</w:t>
      </w:r>
      <w:r w:rsidR="008B7DA9">
        <w:t>041</w:t>
      </w:r>
      <w:r w:rsidR="00E364F0">
        <w:t>,</w:t>
      </w:r>
      <w:r w:rsidR="008B7DA9">
        <w:t>299</w:t>
      </w:r>
      <w:r w:rsidR="009B65DA" w:rsidRPr="00887CC9">
        <w:t xml:space="preserve">              </w:t>
      </w:r>
      <w:r w:rsidR="000A1F07">
        <w:t xml:space="preserve"> </w:t>
      </w:r>
      <w:r w:rsidR="009B65DA" w:rsidRPr="00887CC9">
        <w:t xml:space="preserve"> </w:t>
      </w:r>
      <w:r w:rsidR="008B7DA9">
        <w:t>7</w:t>
      </w:r>
      <w:r w:rsidR="00CF29FE">
        <w:t>8</w:t>
      </w:r>
      <w:r w:rsidR="00E364F0">
        <w:t>.</w:t>
      </w:r>
      <w:r w:rsidR="008B7DA9">
        <w:t>81</w:t>
      </w:r>
      <w:r w:rsidRPr="00887CC9">
        <w:t>%</w:t>
      </w:r>
    </w:p>
    <w:p w:rsidR="009F7229" w:rsidRPr="00887CC9" w:rsidRDefault="009F7229">
      <w:r w:rsidRPr="00887CC9">
        <w:tab/>
      </w:r>
      <w:r w:rsidRPr="00887CC9">
        <w:tab/>
        <w:t>Class Two, Open Space</w:t>
      </w:r>
      <w:r w:rsidRPr="00887CC9">
        <w:tab/>
      </w:r>
      <w:r w:rsidR="00AE3E77" w:rsidRPr="00887CC9">
        <w:t xml:space="preserve"> </w:t>
      </w:r>
      <w:r w:rsidRPr="00887CC9">
        <w:t xml:space="preserve">       </w:t>
      </w:r>
      <w:r w:rsidR="00E23BC7" w:rsidRPr="00887CC9">
        <w:t xml:space="preserve"> </w:t>
      </w:r>
      <w:r w:rsidRPr="00887CC9">
        <w:t xml:space="preserve">          </w:t>
      </w:r>
      <w:r w:rsidR="00AE3E77" w:rsidRPr="00887CC9">
        <w:t xml:space="preserve"> </w:t>
      </w:r>
      <w:r w:rsidR="007C4525" w:rsidRPr="00887CC9">
        <w:t xml:space="preserve">          </w:t>
      </w:r>
      <w:r w:rsidRPr="00887CC9">
        <w:t xml:space="preserve">0             </w:t>
      </w:r>
      <w:r w:rsidR="00E23BC7" w:rsidRPr="00887CC9">
        <w:t xml:space="preserve">     </w:t>
      </w:r>
      <w:r w:rsidRPr="00887CC9">
        <w:t xml:space="preserve">    </w:t>
      </w:r>
      <w:r w:rsidR="006A175E">
        <w:t xml:space="preserve">    </w:t>
      </w:r>
      <w:r w:rsidR="007C4525" w:rsidRPr="00887CC9">
        <w:t xml:space="preserve">  0                </w:t>
      </w:r>
      <w:r w:rsidR="004610F6">
        <w:t xml:space="preserve">  </w:t>
      </w:r>
      <w:r w:rsidR="007C4525" w:rsidRPr="00887CC9">
        <w:t xml:space="preserve">   </w:t>
      </w:r>
      <w:r w:rsidR="006A175E">
        <w:t xml:space="preserve"> </w:t>
      </w:r>
      <w:r w:rsidR="008B7DA9">
        <w:t>0</w:t>
      </w:r>
    </w:p>
    <w:p w:rsidR="009F7229" w:rsidRPr="00887CC9" w:rsidRDefault="009F7229">
      <w:r w:rsidRPr="00887CC9">
        <w:tab/>
      </w:r>
      <w:r w:rsidRPr="00887CC9">
        <w:tab/>
        <w:t>Class Thre</w:t>
      </w:r>
      <w:r w:rsidR="00F27CC5" w:rsidRPr="00887CC9">
        <w:t>e, Commercial</w:t>
      </w:r>
      <w:r w:rsidR="00F27CC5" w:rsidRPr="00887CC9">
        <w:tab/>
        <w:t xml:space="preserve"> </w:t>
      </w:r>
      <w:r w:rsidR="00AE3E77" w:rsidRPr="00887CC9">
        <w:t xml:space="preserve"> </w:t>
      </w:r>
      <w:r w:rsidR="00F27CC5" w:rsidRPr="00887CC9">
        <w:t xml:space="preserve">   </w:t>
      </w:r>
      <w:r w:rsidR="00294CD9" w:rsidRPr="00887CC9">
        <w:t xml:space="preserve">    </w:t>
      </w:r>
      <w:r w:rsidR="009750C3">
        <w:t xml:space="preserve"> </w:t>
      </w:r>
      <w:r w:rsidR="00183395">
        <w:t xml:space="preserve"> </w:t>
      </w:r>
      <w:r w:rsidR="00182261">
        <w:t>$</w:t>
      </w:r>
      <w:r w:rsidR="00D760A1">
        <w:t xml:space="preserve">   5,183,219</w:t>
      </w:r>
      <w:r w:rsidR="00066894">
        <w:t xml:space="preserve">     </w:t>
      </w:r>
      <w:r w:rsidR="00F27CC5" w:rsidRPr="00887CC9">
        <w:tab/>
      </w:r>
      <w:r w:rsidR="00D760A1">
        <w:t>$</w:t>
      </w:r>
      <w:r w:rsidR="00F27CC5" w:rsidRPr="00887CC9">
        <w:t xml:space="preserve">   </w:t>
      </w:r>
      <w:r w:rsidR="00183395">
        <w:t xml:space="preserve"> </w:t>
      </w:r>
      <w:r w:rsidR="00E364F0">
        <w:t xml:space="preserve"> </w:t>
      </w:r>
      <w:r w:rsidR="005316F4">
        <w:t xml:space="preserve"> </w:t>
      </w:r>
      <w:r w:rsidR="008B7DA9">
        <w:t>72,928</w:t>
      </w:r>
      <w:r w:rsidR="00066894">
        <w:t xml:space="preserve"> </w:t>
      </w:r>
      <w:r w:rsidR="00E23BC7" w:rsidRPr="00887CC9">
        <w:t xml:space="preserve">     </w:t>
      </w:r>
      <w:r w:rsidR="00F138DE" w:rsidRPr="00887CC9">
        <w:t xml:space="preserve">     </w:t>
      </w:r>
      <w:r w:rsidR="00CF29FE">
        <w:t xml:space="preserve">  </w:t>
      </w:r>
      <w:r w:rsidR="006A175E">
        <w:t xml:space="preserve"> </w:t>
      </w:r>
      <w:r w:rsidR="005316F4">
        <w:t xml:space="preserve">   </w:t>
      </w:r>
      <w:r w:rsidR="008B7DA9">
        <w:t>5.52</w:t>
      </w:r>
      <w:r w:rsidR="00E364F0">
        <w:t>%</w:t>
      </w:r>
    </w:p>
    <w:p w:rsidR="009F7229" w:rsidRPr="00887CC9" w:rsidRDefault="009F7229">
      <w:r w:rsidRPr="00887CC9">
        <w:tab/>
      </w:r>
      <w:r w:rsidRPr="00887CC9">
        <w:tab/>
        <w:t>Class Four, Industrial</w:t>
      </w:r>
      <w:r w:rsidR="00D760A1">
        <w:tab/>
        <w:t xml:space="preserve">           $   5,047,424 </w:t>
      </w:r>
      <w:r w:rsidR="00D760A1">
        <w:tab/>
        <w:t>$</w:t>
      </w:r>
      <w:r w:rsidR="005316F4">
        <w:t xml:space="preserve">      </w:t>
      </w:r>
      <w:r w:rsidR="00D760A1">
        <w:t>71,017</w:t>
      </w:r>
      <w:r w:rsidR="005316F4">
        <w:t xml:space="preserve">       </w:t>
      </w:r>
      <w:r w:rsidR="00FB6C1E">
        <w:t xml:space="preserve">    </w:t>
      </w:r>
      <w:r w:rsidR="007C4525" w:rsidRPr="00887CC9">
        <w:t xml:space="preserve">   </w:t>
      </w:r>
      <w:r w:rsidR="005316F4">
        <w:t xml:space="preserve">   </w:t>
      </w:r>
      <w:r w:rsidR="008B7DA9">
        <w:t>5.37%</w:t>
      </w:r>
      <w:r w:rsidR="005316F4">
        <w:t>0</w:t>
      </w:r>
      <w:r w:rsidR="00CF29FE">
        <w:t xml:space="preserve"> </w:t>
      </w:r>
      <w:r w:rsidR="00BF1CA7" w:rsidRPr="00887CC9">
        <w:t xml:space="preserve">  </w:t>
      </w:r>
      <w:r w:rsidR="00BF1CA7" w:rsidRPr="00887CC9">
        <w:tab/>
        <w:t xml:space="preserve">    </w:t>
      </w:r>
      <w:r w:rsidR="00CF29FE">
        <w:t xml:space="preserve"> </w:t>
      </w:r>
      <w:r w:rsidR="00BF1CA7" w:rsidRPr="00887CC9">
        <w:t xml:space="preserve"> </w:t>
      </w:r>
      <w:r w:rsidR="005316F4">
        <w:t xml:space="preserve">    </w:t>
      </w:r>
      <w:r w:rsidR="00BF1CA7" w:rsidRPr="00887CC9">
        <w:tab/>
        <w:t xml:space="preserve"> </w:t>
      </w:r>
    </w:p>
    <w:p w:rsidR="009F7229" w:rsidRPr="00887CC9" w:rsidRDefault="009F7229">
      <w:r w:rsidRPr="00887CC9">
        <w:tab/>
      </w:r>
      <w:r w:rsidRPr="00887CC9">
        <w:tab/>
        <w:t>Pe</w:t>
      </w:r>
      <w:r w:rsidR="00793BF9" w:rsidRPr="00887CC9">
        <w:t xml:space="preserve">rsonal Property                     </w:t>
      </w:r>
      <w:r w:rsidR="006A175E">
        <w:t xml:space="preserve"> </w:t>
      </w:r>
      <w:r w:rsidR="00E23BC7" w:rsidRPr="00887CC9">
        <w:t xml:space="preserve">   </w:t>
      </w:r>
      <w:r w:rsidR="00D760A1">
        <w:t xml:space="preserve"> </w:t>
      </w:r>
      <w:r w:rsidRPr="00887CC9">
        <w:rPr>
          <w:u w:val="single"/>
        </w:rPr>
        <w:t xml:space="preserve">$ </w:t>
      </w:r>
      <w:r w:rsidR="00D760A1">
        <w:rPr>
          <w:u w:val="single"/>
        </w:rPr>
        <w:t xml:space="preserve">  9,671,970</w:t>
      </w:r>
      <w:r w:rsidR="00D66478" w:rsidRPr="00887CC9">
        <w:rPr>
          <w:u w:val="single"/>
        </w:rPr>
        <w:t xml:space="preserve"> </w:t>
      </w:r>
      <w:r w:rsidR="00BF1CA7" w:rsidRPr="00887CC9">
        <w:t xml:space="preserve"> </w:t>
      </w:r>
      <w:r w:rsidR="00BF1CA7" w:rsidRPr="00887CC9">
        <w:tab/>
      </w:r>
      <w:r w:rsidRPr="00887CC9">
        <w:rPr>
          <w:u w:val="single"/>
        </w:rPr>
        <w:t xml:space="preserve">$  </w:t>
      </w:r>
      <w:r w:rsidR="00A035D3" w:rsidRPr="00887CC9">
        <w:rPr>
          <w:u w:val="single"/>
        </w:rPr>
        <w:t xml:space="preserve"> </w:t>
      </w:r>
      <w:r w:rsidR="009A75DD" w:rsidRPr="00887CC9">
        <w:rPr>
          <w:u w:val="single"/>
        </w:rPr>
        <w:t xml:space="preserve"> </w:t>
      </w:r>
      <w:r w:rsidR="005316F4">
        <w:rPr>
          <w:u w:val="single"/>
        </w:rPr>
        <w:t>1</w:t>
      </w:r>
      <w:r w:rsidR="00D760A1">
        <w:rPr>
          <w:u w:val="single"/>
        </w:rPr>
        <w:t>36</w:t>
      </w:r>
      <w:r w:rsidR="00E364F0">
        <w:rPr>
          <w:u w:val="single"/>
        </w:rPr>
        <w:t>,</w:t>
      </w:r>
      <w:r w:rsidR="00D760A1">
        <w:rPr>
          <w:u w:val="single"/>
        </w:rPr>
        <w:t>085</w:t>
      </w:r>
      <w:r w:rsidR="00CA5769" w:rsidRPr="00887CC9">
        <w:t xml:space="preserve"> </w:t>
      </w:r>
      <w:r w:rsidR="00CA5769" w:rsidRPr="00887CC9">
        <w:tab/>
        <w:t xml:space="preserve">   </w:t>
      </w:r>
      <w:r w:rsidR="005316F4">
        <w:t xml:space="preserve">    1</w:t>
      </w:r>
      <w:r w:rsidR="008B7DA9">
        <w:t>0.30</w:t>
      </w:r>
      <w:r w:rsidR="00693CF4">
        <w:t xml:space="preserve"> </w:t>
      </w:r>
      <w:r w:rsidR="004610F6">
        <w:t>%</w:t>
      </w:r>
    </w:p>
    <w:p w:rsidR="009F7229" w:rsidRPr="00887CC9" w:rsidRDefault="009F7229">
      <w:r w:rsidRPr="00887CC9">
        <w:t xml:space="preserve">    </w:t>
      </w:r>
    </w:p>
    <w:p w:rsidR="009F7229" w:rsidRPr="00887CC9" w:rsidRDefault="009F7229" w:rsidP="00AC0A40">
      <w:pPr>
        <w:pBdr>
          <w:top w:val="single" w:sz="4" w:space="1" w:color="auto"/>
          <w:left w:val="single" w:sz="4" w:space="4" w:color="auto"/>
          <w:bottom w:val="single" w:sz="4" w:space="1" w:color="auto"/>
          <w:right w:val="single" w:sz="4" w:space="4" w:color="auto"/>
        </w:pBdr>
        <w:ind w:left="1440"/>
      </w:pPr>
      <w:r w:rsidRPr="00AC0A40">
        <w:rPr>
          <w:b/>
        </w:rPr>
        <w:t>TOTAL</w:t>
      </w:r>
      <w:r w:rsidRPr="00AC0A40">
        <w:rPr>
          <w:b/>
        </w:rPr>
        <w:tab/>
      </w:r>
      <w:r w:rsidRPr="00AC0A40">
        <w:rPr>
          <w:b/>
        </w:rPr>
        <w:tab/>
        <w:t xml:space="preserve">     </w:t>
      </w:r>
      <w:r w:rsidRPr="00AC0A40">
        <w:rPr>
          <w:b/>
        </w:rPr>
        <w:tab/>
      </w:r>
      <w:r w:rsidR="00BF1CA7" w:rsidRPr="00AC0A40">
        <w:rPr>
          <w:b/>
        </w:rPr>
        <w:t xml:space="preserve">        </w:t>
      </w:r>
      <w:r w:rsidR="00126D79" w:rsidRPr="00AC0A40">
        <w:rPr>
          <w:b/>
        </w:rPr>
        <w:t xml:space="preserve"> </w:t>
      </w:r>
      <w:r w:rsidR="00D760A1">
        <w:rPr>
          <w:b/>
        </w:rPr>
        <w:t xml:space="preserve"> </w:t>
      </w:r>
      <w:r w:rsidR="00126D79" w:rsidRPr="00AC0A40">
        <w:rPr>
          <w:b/>
        </w:rPr>
        <w:t xml:space="preserve"> </w:t>
      </w:r>
      <w:r w:rsidRPr="00AC0A40">
        <w:rPr>
          <w:b/>
        </w:rPr>
        <w:t>$</w:t>
      </w:r>
      <w:r w:rsidR="00126D79" w:rsidRPr="00AC0A40">
        <w:rPr>
          <w:b/>
        </w:rPr>
        <w:t xml:space="preserve">  </w:t>
      </w:r>
      <w:r w:rsidR="00D760A1">
        <w:rPr>
          <w:b/>
        </w:rPr>
        <w:t>93,911,129</w:t>
      </w:r>
      <w:r w:rsidRPr="00AC0A40">
        <w:rPr>
          <w:b/>
        </w:rPr>
        <w:t xml:space="preserve">  </w:t>
      </w:r>
      <w:r w:rsidR="00BF1CA7" w:rsidRPr="00AC0A40">
        <w:rPr>
          <w:b/>
        </w:rPr>
        <w:t xml:space="preserve">     </w:t>
      </w:r>
      <w:r w:rsidR="00BF1CA7" w:rsidRPr="00AC0A40">
        <w:rPr>
          <w:b/>
        </w:rPr>
        <w:tab/>
      </w:r>
      <w:r w:rsidRPr="00AC0A40">
        <w:rPr>
          <w:b/>
        </w:rPr>
        <w:t>$</w:t>
      </w:r>
      <w:r w:rsidR="00126D79" w:rsidRPr="00AC0A40">
        <w:rPr>
          <w:b/>
        </w:rPr>
        <w:t xml:space="preserve"> </w:t>
      </w:r>
      <w:r w:rsidR="00CF29FE">
        <w:rPr>
          <w:b/>
        </w:rPr>
        <w:t xml:space="preserve"> </w:t>
      </w:r>
      <w:r w:rsidR="005316F4">
        <w:rPr>
          <w:b/>
        </w:rPr>
        <w:t>1,</w:t>
      </w:r>
      <w:r w:rsidR="00D760A1">
        <w:rPr>
          <w:b/>
        </w:rPr>
        <w:t>321,330</w:t>
      </w:r>
      <w:r w:rsidR="00BF1CA7" w:rsidRPr="00AC0A40">
        <w:rPr>
          <w:b/>
          <w:u w:val="double"/>
        </w:rPr>
        <w:t xml:space="preserve"> </w:t>
      </w:r>
      <w:r w:rsidR="00CA5769" w:rsidRPr="00AC0A40">
        <w:t xml:space="preserve">   </w:t>
      </w:r>
      <w:r w:rsidR="008B7DA9">
        <w:tab/>
        <w:t xml:space="preserve">      100.00% </w:t>
      </w:r>
    </w:p>
    <w:p w:rsidR="00350F04" w:rsidRPr="00887CC9" w:rsidRDefault="00350F04" w:rsidP="00A035D3">
      <w:r w:rsidRPr="00887CC9">
        <w:tab/>
      </w:r>
    </w:p>
    <w:p w:rsidR="009F7229" w:rsidRPr="00887CC9" w:rsidRDefault="009F7229">
      <w:pPr>
        <w:numPr>
          <w:ilvl w:val="0"/>
          <w:numId w:val="18"/>
        </w:numPr>
        <w:rPr>
          <w:b/>
        </w:rPr>
      </w:pPr>
      <w:r w:rsidRPr="00887CC9">
        <w:rPr>
          <w:b/>
        </w:rPr>
        <w:t>Change of Taxable Status</w:t>
      </w:r>
    </w:p>
    <w:p w:rsidR="009F7229" w:rsidRPr="00887CC9" w:rsidRDefault="009F7229">
      <w:pPr>
        <w:ind w:left="720"/>
      </w:pPr>
    </w:p>
    <w:p w:rsidR="009F7229" w:rsidRDefault="009F7229" w:rsidP="003B5B25">
      <w:pPr>
        <w:ind w:left="720" w:firstLine="720"/>
      </w:pPr>
      <w:r w:rsidRPr="00887CC9">
        <w:t>From time to t</w:t>
      </w:r>
      <w:r w:rsidR="008C514F" w:rsidRPr="00887CC9">
        <w:t xml:space="preserve">ime </w:t>
      </w:r>
      <w:r w:rsidR="00621473">
        <w:t>a</w:t>
      </w:r>
      <w:r w:rsidR="00D00968">
        <w:t xml:space="preserve"> shift in </w:t>
      </w:r>
      <w:r w:rsidR="003F26D4">
        <w:t xml:space="preserve">tax burdens will occur </w:t>
      </w:r>
      <w:r w:rsidRPr="00887CC9">
        <w:t xml:space="preserve">due to a change </w:t>
      </w:r>
      <w:r w:rsidR="00A0639B" w:rsidRPr="00887CC9">
        <w:t>of taxable status</w:t>
      </w:r>
      <w:r w:rsidR="00CB5B13" w:rsidRPr="00887CC9">
        <w:t xml:space="preserve">.  </w:t>
      </w:r>
      <w:r w:rsidR="005568A3">
        <w:t xml:space="preserve">This year </w:t>
      </w:r>
      <w:r w:rsidR="0065210D">
        <w:t xml:space="preserve">9x Forest Ridge, 10X Forest Ridge, </w:t>
      </w:r>
      <w:r w:rsidR="00F22699">
        <w:t>and</w:t>
      </w:r>
      <w:r w:rsidR="0065210D">
        <w:t xml:space="preserve"> 265 Balls Hill Rd. </w:t>
      </w:r>
      <w:r w:rsidR="00F22699">
        <w:t>all became exempt this year for a total loss in taxable value of $228,000.  This was offset by 26 Brook Trail Road becoming taxable with a value of $580,100</w:t>
      </w:r>
      <w:r w:rsidR="00165FE4">
        <w:t>.</w:t>
      </w:r>
      <w:r w:rsidR="00D00968" w:rsidRPr="00B93686">
        <w:t xml:space="preserve"> </w:t>
      </w:r>
    </w:p>
    <w:p w:rsidR="00182261" w:rsidRDefault="00182261" w:rsidP="003B5B25">
      <w:pPr>
        <w:ind w:left="720" w:firstLine="720"/>
      </w:pPr>
    </w:p>
    <w:p w:rsidR="00AF4ECD" w:rsidRDefault="00AF4ECD" w:rsidP="003B5B25">
      <w:pPr>
        <w:ind w:left="720" w:firstLine="720"/>
      </w:pPr>
    </w:p>
    <w:p w:rsidR="00AF4ECD" w:rsidRDefault="00AF4ECD" w:rsidP="003B5B25">
      <w:pPr>
        <w:ind w:left="720" w:firstLine="720"/>
      </w:pPr>
    </w:p>
    <w:p w:rsidR="00E41A26" w:rsidRPr="00AF4ECD" w:rsidRDefault="00182261" w:rsidP="00AF4ECD">
      <w:pPr>
        <w:numPr>
          <w:ilvl w:val="0"/>
          <w:numId w:val="18"/>
        </w:numPr>
        <w:tabs>
          <w:tab w:val="clear" w:pos="1440"/>
          <w:tab w:val="left" w:pos="630"/>
          <w:tab w:val="num" w:pos="810"/>
        </w:tabs>
        <w:ind w:hanging="1350"/>
      </w:pPr>
      <w:r w:rsidRPr="00182261">
        <w:rPr>
          <w:b/>
        </w:rPr>
        <w:t>Total Taxable value</w:t>
      </w:r>
    </w:p>
    <w:p w:rsidR="00AF4ECD" w:rsidRDefault="00AF4ECD" w:rsidP="00AF4ECD">
      <w:pPr>
        <w:ind w:left="1440"/>
      </w:pPr>
    </w:p>
    <w:p w:rsidR="00BA5C2D" w:rsidRPr="00182261" w:rsidRDefault="009F7229" w:rsidP="00B93686">
      <w:pPr>
        <w:pStyle w:val="NormalWeb"/>
        <w:spacing w:before="0" w:beforeAutospacing="0" w:after="0" w:afterAutospacing="0"/>
        <w:textAlignment w:val="baseline"/>
        <w:rPr>
          <w:sz w:val="20"/>
          <w:szCs w:val="20"/>
        </w:rPr>
      </w:pPr>
      <w:r w:rsidRPr="00182261">
        <w:rPr>
          <w:sz w:val="20"/>
          <w:szCs w:val="20"/>
        </w:rPr>
        <w:t>The total ta</w:t>
      </w:r>
      <w:r w:rsidR="003B5B25" w:rsidRPr="00182261">
        <w:rPr>
          <w:sz w:val="20"/>
          <w:szCs w:val="20"/>
        </w:rPr>
        <w:t>xable value for FY</w:t>
      </w:r>
      <w:r w:rsidR="004A5913" w:rsidRPr="00182261">
        <w:rPr>
          <w:sz w:val="20"/>
          <w:szCs w:val="20"/>
        </w:rPr>
        <w:t>201</w:t>
      </w:r>
      <w:r w:rsidR="00037429">
        <w:rPr>
          <w:sz w:val="20"/>
          <w:szCs w:val="20"/>
        </w:rPr>
        <w:t>8</w:t>
      </w:r>
      <w:r w:rsidRPr="00182261">
        <w:rPr>
          <w:sz w:val="20"/>
          <w:szCs w:val="20"/>
        </w:rPr>
        <w:t xml:space="preserve"> is $</w:t>
      </w:r>
      <w:r w:rsidR="00037429">
        <w:rPr>
          <w:sz w:val="20"/>
          <w:szCs w:val="20"/>
        </w:rPr>
        <w:t>6,144,</w:t>
      </w:r>
      <w:r w:rsidR="00333A51">
        <w:rPr>
          <w:sz w:val="20"/>
          <w:szCs w:val="20"/>
        </w:rPr>
        <w:t>650,600</w:t>
      </w:r>
      <w:r w:rsidR="00CB5B13" w:rsidRPr="00182261">
        <w:rPr>
          <w:sz w:val="20"/>
          <w:szCs w:val="20"/>
        </w:rPr>
        <w:t xml:space="preserve">. </w:t>
      </w:r>
      <w:r w:rsidR="00B93686" w:rsidRPr="00182261">
        <w:rPr>
          <w:sz w:val="20"/>
          <w:szCs w:val="20"/>
        </w:rPr>
        <w:t xml:space="preserve"> </w:t>
      </w:r>
      <w:r w:rsidRPr="00182261">
        <w:rPr>
          <w:sz w:val="20"/>
          <w:szCs w:val="20"/>
        </w:rPr>
        <w:t xml:space="preserve">A comparison of the Assessment Totals between </w:t>
      </w:r>
      <w:r w:rsidR="00891A3C" w:rsidRPr="00182261">
        <w:rPr>
          <w:sz w:val="20"/>
          <w:szCs w:val="20"/>
        </w:rPr>
        <w:t>FY201</w:t>
      </w:r>
      <w:r w:rsidR="00037429">
        <w:rPr>
          <w:sz w:val="20"/>
          <w:szCs w:val="20"/>
        </w:rPr>
        <w:t>7</w:t>
      </w:r>
      <w:r w:rsidR="003B5B25" w:rsidRPr="00182261">
        <w:rPr>
          <w:sz w:val="20"/>
          <w:szCs w:val="20"/>
        </w:rPr>
        <w:t xml:space="preserve"> and FY</w:t>
      </w:r>
      <w:r w:rsidR="004A5913" w:rsidRPr="00182261">
        <w:rPr>
          <w:sz w:val="20"/>
          <w:szCs w:val="20"/>
        </w:rPr>
        <w:t>201</w:t>
      </w:r>
      <w:r w:rsidR="00037429">
        <w:rPr>
          <w:sz w:val="20"/>
          <w:szCs w:val="20"/>
        </w:rPr>
        <w:t>8</w:t>
      </w:r>
      <w:r w:rsidR="00C94A7A" w:rsidRPr="00182261">
        <w:rPr>
          <w:sz w:val="20"/>
          <w:szCs w:val="20"/>
        </w:rPr>
        <w:t xml:space="preserve"> </w:t>
      </w:r>
      <w:r w:rsidR="00E60B4E" w:rsidRPr="00182261">
        <w:rPr>
          <w:sz w:val="20"/>
          <w:szCs w:val="20"/>
        </w:rPr>
        <w:t>appears</w:t>
      </w:r>
      <w:r w:rsidR="00C94A7A" w:rsidRPr="00182261">
        <w:rPr>
          <w:sz w:val="20"/>
          <w:szCs w:val="20"/>
        </w:rPr>
        <w:t xml:space="preserve"> on pages </w:t>
      </w:r>
      <w:r w:rsidR="0060794D" w:rsidRPr="00182261">
        <w:rPr>
          <w:sz w:val="20"/>
          <w:szCs w:val="20"/>
        </w:rPr>
        <w:t>6</w:t>
      </w:r>
      <w:r w:rsidR="00C94A7A" w:rsidRPr="00182261">
        <w:rPr>
          <w:sz w:val="20"/>
          <w:szCs w:val="20"/>
        </w:rPr>
        <w:t xml:space="preserve"> and </w:t>
      </w:r>
      <w:r w:rsidR="0060794D" w:rsidRPr="00182261">
        <w:rPr>
          <w:sz w:val="20"/>
          <w:szCs w:val="20"/>
        </w:rPr>
        <w:t>7</w:t>
      </w:r>
      <w:r w:rsidR="00CB5B13" w:rsidRPr="00182261">
        <w:rPr>
          <w:sz w:val="20"/>
          <w:szCs w:val="20"/>
        </w:rPr>
        <w:t xml:space="preserve">.  </w:t>
      </w:r>
      <w:r w:rsidRPr="00182261">
        <w:rPr>
          <w:sz w:val="20"/>
          <w:szCs w:val="20"/>
        </w:rPr>
        <w:t>The</w:t>
      </w:r>
      <w:r w:rsidR="00442988" w:rsidRPr="00182261">
        <w:rPr>
          <w:sz w:val="20"/>
          <w:szCs w:val="20"/>
        </w:rPr>
        <w:t xml:space="preserve"> total town valuation </w:t>
      </w:r>
      <w:r w:rsidR="00475B07" w:rsidRPr="00182261">
        <w:rPr>
          <w:sz w:val="20"/>
          <w:szCs w:val="20"/>
        </w:rPr>
        <w:t xml:space="preserve">from </w:t>
      </w:r>
      <w:r w:rsidR="00410148" w:rsidRPr="00182261">
        <w:rPr>
          <w:sz w:val="20"/>
          <w:szCs w:val="20"/>
        </w:rPr>
        <w:t>FY1</w:t>
      </w:r>
      <w:r w:rsidR="00037429">
        <w:rPr>
          <w:sz w:val="20"/>
          <w:szCs w:val="20"/>
        </w:rPr>
        <w:t>7</w:t>
      </w:r>
      <w:r w:rsidR="00475B07" w:rsidRPr="00182261">
        <w:rPr>
          <w:sz w:val="20"/>
          <w:szCs w:val="20"/>
        </w:rPr>
        <w:t xml:space="preserve"> to </w:t>
      </w:r>
      <w:r w:rsidR="00410148" w:rsidRPr="00182261">
        <w:rPr>
          <w:sz w:val="20"/>
          <w:szCs w:val="20"/>
        </w:rPr>
        <w:t>FY1</w:t>
      </w:r>
      <w:r w:rsidR="00037429">
        <w:rPr>
          <w:sz w:val="20"/>
          <w:szCs w:val="20"/>
        </w:rPr>
        <w:t>8</w:t>
      </w:r>
      <w:r w:rsidRPr="00182261">
        <w:rPr>
          <w:sz w:val="20"/>
          <w:szCs w:val="20"/>
        </w:rPr>
        <w:t xml:space="preserve"> </w:t>
      </w:r>
      <w:r w:rsidR="00604FB7" w:rsidRPr="00182261">
        <w:rPr>
          <w:sz w:val="20"/>
          <w:szCs w:val="20"/>
        </w:rPr>
        <w:t>increase</w:t>
      </w:r>
      <w:r w:rsidR="00E66D0C" w:rsidRPr="00182261">
        <w:rPr>
          <w:sz w:val="20"/>
          <w:szCs w:val="20"/>
        </w:rPr>
        <w:t>s</w:t>
      </w:r>
      <w:r w:rsidR="00604FB7" w:rsidRPr="00182261">
        <w:rPr>
          <w:sz w:val="20"/>
          <w:szCs w:val="20"/>
        </w:rPr>
        <w:t xml:space="preserve"> </w:t>
      </w:r>
      <w:r w:rsidR="008E2090" w:rsidRPr="00182261">
        <w:rPr>
          <w:sz w:val="20"/>
          <w:szCs w:val="20"/>
        </w:rPr>
        <w:t>by</w:t>
      </w:r>
      <w:r w:rsidR="00604FB7" w:rsidRPr="00182261">
        <w:rPr>
          <w:sz w:val="20"/>
          <w:szCs w:val="20"/>
        </w:rPr>
        <w:t xml:space="preserve"> </w:t>
      </w:r>
      <w:r w:rsidR="00B93686" w:rsidRPr="00182261">
        <w:rPr>
          <w:sz w:val="20"/>
          <w:szCs w:val="20"/>
        </w:rPr>
        <w:t>2.</w:t>
      </w:r>
      <w:r w:rsidR="00037429">
        <w:rPr>
          <w:sz w:val="20"/>
          <w:szCs w:val="20"/>
        </w:rPr>
        <w:t>8</w:t>
      </w:r>
      <w:r w:rsidR="00333A51">
        <w:rPr>
          <w:sz w:val="20"/>
          <w:szCs w:val="20"/>
        </w:rPr>
        <w:t>6</w:t>
      </w:r>
      <w:r w:rsidR="00C71F85" w:rsidRPr="00182261">
        <w:rPr>
          <w:sz w:val="20"/>
          <w:szCs w:val="20"/>
        </w:rPr>
        <w:t>%</w:t>
      </w:r>
      <w:r w:rsidR="00CB5B13" w:rsidRPr="00182261">
        <w:rPr>
          <w:sz w:val="20"/>
          <w:szCs w:val="20"/>
        </w:rPr>
        <w:t xml:space="preserve">.  </w:t>
      </w:r>
      <w:r w:rsidR="000624A4" w:rsidRPr="00182261">
        <w:rPr>
          <w:sz w:val="20"/>
          <w:szCs w:val="20"/>
        </w:rPr>
        <w:t xml:space="preserve">The change in value by class </w:t>
      </w:r>
      <w:r w:rsidR="00E66D0C" w:rsidRPr="00182261">
        <w:rPr>
          <w:sz w:val="20"/>
          <w:szCs w:val="20"/>
        </w:rPr>
        <w:t>varies</w:t>
      </w:r>
      <w:r w:rsidR="000F658A" w:rsidRPr="00182261">
        <w:rPr>
          <w:sz w:val="20"/>
          <w:szCs w:val="20"/>
        </w:rPr>
        <w:t xml:space="preserve"> from th</w:t>
      </w:r>
      <w:r w:rsidR="00E66D0C" w:rsidRPr="00182261">
        <w:rPr>
          <w:sz w:val="20"/>
          <w:szCs w:val="20"/>
        </w:rPr>
        <w:t>is</w:t>
      </w:r>
      <w:r w:rsidR="000F658A" w:rsidRPr="00182261">
        <w:rPr>
          <w:sz w:val="20"/>
          <w:szCs w:val="20"/>
        </w:rPr>
        <w:t xml:space="preserve"> total</w:t>
      </w:r>
      <w:r w:rsidR="000624A4" w:rsidRPr="00182261">
        <w:rPr>
          <w:sz w:val="20"/>
          <w:szCs w:val="20"/>
        </w:rPr>
        <w:t xml:space="preserve">.  </w:t>
      </w:r>
      <w:r w:rsidR="00BA5C2D" w:rsidRPr="00182261">
        <w:rPr>
          <w:sz w:val="20"/>
          <w:szCs w:val="20"/>
        </w:rPr>
        <w:t xml:space="preserve">The </w:t>
      </w:r>
      <w:r w:rsidR="00604FB7" w:rsidRPr="00182261">
        <w:rPr>
          <w:sz w:val="20"/>
          <w:szCs w:val="20"/>
        </w:rPr>
        <w:t>increase</w:t>
      </w:r>
      <w:r w:rsidR="00606838" w:rsidRPr="00182261">
        <w:rPr>
          <w:sz w:val="20"/>
          <w:szCs w:val="20"/>
        </w:rPr>
        <w:t xml:space="preserve"> </w:t>
      </w:r>
      <w:r w:rsidR="00BA5C2D" w:rsidRPr="00182261">
        <w:rPr>
          <w:sz w:val="20"/>
          <w:szCs w:val="20"/>
        </w:rPr>
        <w:t>in</w:t>
      </w:r>
      <w:r w:rsidR="00A70C6F" w:rsidRPr="00182261">
        <w:rPr>
          <w:sz w:val="20"/>
          <w:szCs w:val="20"/>
        </w:rPr>
        <w:t xml:space="preserve"> the residential class is </w:t>
      </w:r>
      <w:r w:rsidR="00B93686" w:rsidRPr="00182261">
        <w:rPr>
          <w:sz w:val="20"/>
          <w:szCs w:val="20"/>
        </w:rPr>
        <w:t>2.</w:t>
      </w:r>
      <w:r w:rsidR="00037429">
        <w:rPr>
          <w:sz w:val="20"/>
          <w:szCs w:val="20"/>
        </w:rPr>
        <w:t>80</w:t>
      </w:r>
      <w:r w:rsidR="00A70C6F" w:rsidRPr="00182261">
        <w:rPr>
          <w:sz w:val="20"/>
          <w:szCs w:val="20"/>
        </w:rPr>
        <w:t xml:space="preserve">%, </w:t>
      </w:r>
      <w:r w:rsidR="00E66D0C" w:rsidRPr="00182261">
        <w:rPr>
          <w:sz w:val="20"/>
          <w:szCs w:val="20"/>
        </w:rPr>
        <w:t xml:space="preserve">while the </w:t>
      </w:r>
      <w:r w:rsidR="00A70C6F" w:rsidRPr="00182261">
        <w:rPr>
          <w:sz w:val="20"/>
          <w:szCs w:val="20"/>
        </w:rPr>
        <w:t>commercial</w:t>
      </w:r>
      <w:r w:rsidR="00604FB7" w:rsidRPr="00182261">
        <w:rPr>
          <w:sz w:val="20"/>
          <w:szCs w:val="20"/>
        </w:rPr>
        <w:t xml:space="preserve">/ industrial and personal property </w:t>
      </w:r>
      <w:r w:rsidR="000A1F07" w:rsidRPr="00182261">
        <w:rPr>
          <w:sz w:val="20"/>
          <w:szCs w:val="20"/>
        </w:rPr>
        <w:t xml:space="preserve">increase </w:t>
      </w:r>
      <w:r w:rsidR="00A70C6F" w:rsidRPr="00182261">
        <w:rPr>
          <w:sz w:val="20"/>
          <w:szCs w:val="20"/>
        </w:rPr>
        <w:t>is</w:t>
      </w:r>
      <w:r w:rsidR="00E66D0C" w:rsidRPr="00182261">
        <w:rPr>
          <w:sz w:val="20"/>
          <w:szCs w:val="20"/>
        </w:rPr>
        <w:t xml:space="preserve"> </w:t>
      </w:r>
      <w:r w:rsidR="00F22B2A">
        <w:rPr>
          <w:sz w:val="20"/>
          <w:szCs w:val="20"/>
        </w:rPr>
        <w:t>3.55</w:t>
      </w:r>
      <w:r w:rsidR="00A70C6F" w:rsidRPr="00182261">
        <w:rPr>
          <w:sz w:val="20"/>
          <w:szCs w:val="20"/>
        </w:rPr>
        <w:t>%</w:t>
      </w:r>
      <w:r w:rsidR="00604FB7" w:rsidRPr="00182261">
        <w:rPr>
          <w:sz w:val="20"/>
          <w:szCs w:val="20"/>
        </w:rPr>
        <w:t>.</w:t>
      </w:r>
      <w:r w:rsidR="00BA5C2D" w:rsidRPr="00182261">
        <w:rPr>
          <w:sz w:val="20"/>
          <w:szCs w:val="20"/>
        </w:rPr>
        <w:t xml:space="preserve"> </w:t>
      </w:r>
      <w:r w:rsidR="00606838" w:rsidRPr="00182261">
        <w:rPr>
          <w:sz w:val="20"/>
          <w:szCs w:val="20"/>
        </w:rPr>
        <w:t xml:space="preserve"> The </w:t>
      </w:r>
      <w:r w:rsidR="008E2090" w:rsidRPr="00182261">
        <w:rPr>
          <w:sz w:val="20"/>
          <w:szCs w:val="20"/>
        </w:rPr>
        <w:t>n</w:t>
      </w:r>
      <w:r w:rsidR="000624A4" w:rsidRPr="00182261">
        <w:rPr>
          <w:sz w:val="20"/>
          <w:szCs w:val="20"/>
        </w:rPr>
        <w:t xml:space="preserve">ew growth listed above </w:t>
      </w:r>
      <w:r w:rsidR="00604FB7" w:rsidRPr="00182261">
        <w:rPr>
          <w:sz w:val="20"/>
          <w:szCs w:val="20"/>
        </w:rPr>
        <w:t xml:space="preserve">is included in the totals, so the actual change is </w:t>
      </w:r>
      <w:r w:rsidR="00A80E2D" w:rsidRPr="00182261">
        <w:rPr>
          <w:sz w:val="20"/>
          <w:szCs w:val="20"/>
        </w:rPr>
        <w:t>$</w:t>
      </w:r>
      <w:r w:rsidR="00F22B2A">
        <w:rPr>
          <w:sz w:val="20"/>
          <w:szCs w:val="20"/>
        </w:rPr>
        <w:t>7</w:t>
      </w:r>
      <w:r w:rsidR="00333A51">
        <w:rPr>
          <w:sz w:val="20"/>
          <w:szCs w:val="20"/>
        </w:rPr>
        <w:t>8</w:t>
      </w:r>
      <w:r w:rsidR="00F22B2A">
        <w:rPr>
          <w:sz w:val="20"/>
          <w:szCs w:val="20"/>
        </w:rPr>
        <w:t>,</w:t>
      </w:r>
      <w:r w:rsidR="00333A51">
        <w:rPr>
          <w:sz w:val="20"/>
          <w:szCs w:val="20"/>
        </w:rPr>
        <w:t>023</w:t>
      </w:r>
      <w:r w:rsidR="00F22B2A">
        <w:rPr>
          <w:sz w:val="20"/>
          <w:szCs w:val="20"/>
        </w:rPr>
        <w:t>,</w:t>
      </w:r>
      <w:r w:rsidR="00333A51">
        <w:rPr>
          <w:sz w:val="20"/>
          <w:szCs w:val="20"/>
        </w:rPr>
        <w:t>069</w:t>
      </w:r>
      <w:r w:rsidR="00A80E2D" w:rsidRPr="00182261">
        <w:rPr>
          <w:sz w:val="20"/>
          <w:szCs w:val="20"/>
        </w:rPr>
        <w:t xml:space="preserve"> or</w:t>
      </w:r>
      <w:r w:rsidR="00F22B2A">
        <w:rPr>
          <w:sz w:val="20"/>
          <w:szCs w:val="20"/>
        </w:rPr>
        <w:t xml:space="preserve"> 1.3</w:t>
      </w:r>
      <w:r w:rsidR="00333A51">
        <w:rPr>
          <w:sz w:val="20"/>
          <w:szCs w:val="20"/>
        </w:rPr>
        <w:t>1</w:t>
      </w:r>
      <w:r w:rsidR="00A80E2D" w:rsidRPr="00182261">
        <w:rPr>
          <w:sz w:val="20"/>
          <w:szCs w:val="20"/>
        </w:rPr>
        <w:t xml:space="preserve">%.  </w:t>
      </w:r>
      <w:r w:rsidR="00A963F3" w:rsidRPr="00182261">
        <w:rPr>
          <w:sz w:val="20"/>
          <w:szCs w:val="20"/>
        </w:rPr>
        <w:t>Note</w:t>
      </w:r>
      <w:r w:rsidR="00A80E2D" w:rsidRPr="00182261">
        <w:rPr>
          <w:sz w:val="20"/>
          <w:szCs w:val="20"/>
        </w:rPr>
        <w:t xml:space="preserve"> that this </w:t>
      </w:r>
      <w:r w:rsidR="00E66D0C" w:rsidRPr="00182261">
        <w:rPr>
          <w:sz w:val="20"/>
          <w:szCs w:val="20"/>
        </w:rPr>
        <w:t xml:space="preserve">represents </w:t>
      </w:r>
      <w:r w:rsidR="00A80E2D" w:rsidRPr="00182261">
        <w:rPr>
          <w:sz w:val="20"/>
          <w:szCs w:val="20"/>
        </w:rPr>
        <w:t>the change i</w:t>
      </w:r>
      <w:r w:rsidR="00A963F3" w:rsidRPr="00182261">
        <w:rPr>
          <w:sz w:val="20"/>
          <w:szCs w:val="20"/>
        </w:rPr>
        <w:t>n the market from Calendar 201</w:t>
      </w:r>
      <w:r w:rsidR="00F22B2A">
        <w:rPr>
          <w:sz w:val="20"/>
          <w:szCs w:val="20"/>
        </w:rPr>
        <w:t>5</w:t>
      </w:r>
      <w:r w:rsidR="00A80E2D" w:rsidRPr="00182261">
        <w:rPr>
          <w:sz w:val="20"/>
          <w:szCs w:val="20"/>
        </w:rPr>
        <w:t xml:space="preserve"> to 201</w:t>
      </w:r>
      <w:r w:rsidR="00F22B2A">
        <w:rPr>
          <w:sz w:val="20"/>
          <w:szCs w:val="20"/>
        </w:rPr>
        <w:t>6</w:t>
      </w:r>
      <w:r w:rsidR="00A80E2D" w:rsidRPr="00182261">
        <w:rPr>
          <w:sz w:val="20"/>
          <w:szCs w:val="20"/>
        </w:rPr>
        <w:t xml:space="preserve"> and </w:t>
      </w:r>
      <w:r w:rsidR="00B93686" w:rsidRPr="00182261">
        <w:rPr>
          <w:sz w:val="20"/>
          <w:szCs w:val="20"/>
        </w:rPr>
        <w:t>represents a very small change</w:t>
      </w:r>
      <w:r w:rsidR="00A80E2D" w:rsidRPr="00182261">
        <w:rPr>
          <w:sz w:val="20"/>
          <w:szCs w:val="20"/>
        </w:rPr>
        <w:t>.</w:t>
      </w:r>
      <w:r w:rsidR="00BA5C2D" w:rsidRPr="00182261">
        <w:rPr>
          <w:sz w:val="20"/>
          <w:szCs w:val="20"/>
        </w:rPr>
        <w:t xml:space="preserve"> </w:t>
      </w:r>
    </w:p>
    <w:p w:rsidR="009F7229" w:rsidRPr="00887CC9" w:rsidRDefault="009F7229" w:rsidP="00410148">
      <w:pPr>
        <w:ind w:left="720" w:firstLine="720"/>
      </w:pPr>
    </w:p>
    <w:p w:rsidR="009F7229" w:rsidRPr="00887CC9" w:rsidRDefault="009F7229" w:rsidP="00410148">
      <w:pPr>
        <w:ind w:left="720" w:firstLine="720"/>
        <w:jc w:val="both"/>
      </w:pPr>
      <w:r w:rsidRPr="00887CC9">
        <w:t>Overall, the Residential/</w:t>
      </w:r>
      <w:r w:rsidR="00C71F85" w:rsidRPr="00887CC9">
        <w:t>Open Space (R/O) portion is 9</w:t>
      </w:r>
      <w:r w:rsidR="008B5B07">
        <w:t>1.</w:t>
      </w:r>
      <w:r w:rsidR="003215CD">
        <w:t>5</w:t>
      </w:r>
      <w:r w:rsidR="003C7A13">
        <w:t>2</w:t>
      </w:r>
      <w:r w:rsidRPr="00887CC9">
        <w:t>% of the total value and the Commercial/Industrial/Personal P</w:t>
      </w:r>
      <w:r w:rsidR="00C71F85" w:rsidRPr="00887CC9">
        <w:t xml:space="preserve">roperty (C/I/P) portion is </w:t>
      </w:r>
      <w:r w:rsidR="001A337F">
        <w:t>8.</w:t>
      </w:r>
      <w:r w:rsidR="003215CD">
        <w:t>4</w:t>
      </w:r>
      <w:r w:rsidR="003C7A13">
        <w:t>8</w:t>
      </w:r>
      <w:r w:rsidRPr="00887CC9">
        <w:t>%</w:t>
      </w:r>
      <w:r w:rsidR="00CB5B13" w:rsidRPr="00887CC9">
        <w:t xml:space="preserve">.  </w:t>
      </w:r>
      <w:r w:rsidRPr="00887CC9">
        <w:t xml:space="preserve">These percentages are </w:t>
      </w:r>
      <w:r w:rsidR="001A337F">
        <w:t xml:space="preserve">slightly </w:t>
      </w:r>
      <w:r w:rsidR="003C7A13">
        <w:t>lower</w:t>
      </w:r>
      <w:r w:rsidR="001A337F">
        <w:t xml:space="preserve"> for residential, but </w:t>
      </w:r>
      <w:r w:rsidRPr="00887CC9">
        <w:t>consistent with the last several years</w:t>
      </w:r>
      <w:r w:rsidR="00CB5B13" w:rsidRPr="00887CC9">
        <w:t xml:space="preserve">.  </w:t>
      </w:r>
      <w:r w:rsidR="003B5B25">
        <w:t>The FY</w:t>
      </w:r>
      <w:r w:rsidR="00E263CF" w:rsidRPr="00887CC9">
        <w:t>200</w:t>
      </w:r>
      <w:r w:rsidR="003C7A13">
        <w:t>8</w:t>
      </w:r>
      <w:r w:rsidRPr="00887CC9">
        <w:t xml:space="preserve"> portions</w:t>
      </w:r>
      <w:r w:rsidR="00E00E28">
        <w:t xml:space="preserve">, </w:t>
      </w:r>
      <w:r w:rsidR="001A337F">
        <w:t>t</w:t>
      </w:r>
      <w:r w:rsidR="00971AFF">
        <w:t>en</w:t>
      </w:r>
      <w:r w:rsidR="001A337F">
        <w:t xml:space="preserve"> years </w:t>
      </w:r>
      <w:r w:rsidR="00E00E28">
        <w:t xml:space="preserve">earlier, </w:t>
      </w:r>
      <w:r w:rsidRPr="00887CC9">
        <w:t xml:space="preserve">were </w:t>
      </w:r>
      <w:r w:rsidR="00971AFF">
        <w:t>9</w:t>
      </w:r>
      <w:r w:rsidR="00896865">
        <w:t>1</w:t>
      </w:r>
      <w:r w:rsidR="00971AFF">
        <w:t>.</w:t>
      </w:r>
      <w:r w:rsidR="003C7A13">
        <w:t>01</w:t>
      </w:r>
      <w:r w:rsidRPr="00887CC9">
        <w:t xml:space="preserve">% and </w:t>
      </w:r>
      <w:r w:rsidR="00896865">
        <w:t>8</w:t>
      </w:r>
      <w:r w:rsidR="00971AFF">
        <w:t>.</w:t>
      </w:r>
      <w:r w:rsidR="003C7A13">
        <w:t>99</w:t>
      </w:r>
      <w:r w:rsidRPr="00887CC9">
        <w:t>%.</w:t>
      </w:r>
      <w:r w:rsidR="00491CC2">
        <w:t xml:space="preserve"> </w:t>
      </w:r>
    </w:p>
    <w:p w:rsidR="00FE1A1A" w:rsidRPr="00887CC9" w:rsidRDefault="00FE1A1A" w:rsidP="00AD773B">
      <w:pPr>
        <w:rPr>
          <w:b/>
        </w:rPr>
      </w:pPr>
    </w:p>
    <w:p w:rsidR="00AD773B" w:rsidRPr="00887CC9" w:rsidRDefault="00AD773B" w:rsidP="00AD773B">
      <w:pPr>
        <w:rPr>
          <w:b/>
        </w:rPr>
      </w:pPr>
      <w:r w:rsidRPr="00887CC9">
        <w:rPr>
          <w:b/>
        </w:rPr>
        <w:t>II.</w:t>
      </w:r>
      <w:r w:rsidRPr="00887CC9">
        <w:rPr>
          <w:b/>
        </w:rPr>
        <w:tab/>
        <w:t xml:space="preserve">Tax Levy  </w:t>
      </w:r>
    </w:p>
    <w:p w:rsidR="00AD773B" w:rsidRPr="00887CC9" w:rsidRDefault="00AD773B" w:rsidP="00AD773B">
      <w:pPr>
        <w:jc w:val="both"/>
      </w:pPr>
    </w:p>
    <w:p w:rsidR="00AD773B" w:rsidRDefault="00AD773B" w:rsidP="003B5B25">
      <w:pPr>
        <w:pStyle w:val="BodyText"/>
        <w:ind w:left="0" w:firstLine="720"/>
        <w:jc w:val="left"/>
        <w:rPr>
          <w:sz w:val="20"/>
        </w:rPr>
      </w:pPr>
      <w:r w:rsidRPr="00887CC9">
        <w:rPr>
          <w:sz w:val="20"/>
        </w:rPr>
        <w:t xml:space="preserve">At the April </w:t>
      </w:r>
      <w:r w:rsidR="007A59AD" w:rsidRPr="00887CC9">
        <w:rPr>
          <w:sz w:val="20"/>
        </w:rPr>
        <w:t>201</w:t>
      </w:r>
      <w:r w:rsidR="00C82660">
        <w:rPr>
          <w:sz w:val="20"/>
        </w:rPr>
        <w:t>7</w:t>
      </w:r>
      <w:r w:rsidRPr="00887CC9">
        <w:rPr>
          <w:sz w:val="20"/>
        </w:rPr>
        <w:t xml:space="preserve"> Annual Town Meeting, the taxpayers voted appropriations </w:t>
      </w:r>
      <w:r w:rsidR="006648DE" w:rsidRPr="00887CC9">
        <w:rPr>
          <w:sz w:val="20"/>
        </w:rPr>
        <w:t xml:space="preserve">for the fiscal year July 1, </w:t>
      </w:r>
      <w:r w:rsidR="007A59AD" w:rsidRPr="00887CC9">
        <w:rPr>
          <w:sz w:val="20"/>
        </w:rPr>
        <w:t>201</w:t>
      </w:r>
      <w:r w:rsidR="00C82660">
        <w:rPr>
          <w:sz w:val="20"/>
        </w:rPr>
        <w:t>7</w:t>
      </w:r>
      <w:r w:rsidRPr="00887CC9">
        <w:rPr>
          <w:sz w:val="20"/>
        </w:rPr>
        <w:t xml:space="preserve"> through June 30, </w:t>
      </w:r>
      <w:r w:rsidR="004A5913">
        <w:rPr>
          <w:sz w:val="20"/>
        </w:rPr>
        <w:t>201</w:t>
      </w:r>
      <w:r w:rsidR="00C82660">
        <w:rPr>
          <w:sz w:val="20"/>
        </w:rPr>
        <w:t>8</w:t>
      </w:r>
      <w:r w:rsidR="00CB5B13" w:rsidRPr="00887CC9">
        <w:rPr>
          <w:sz w:val="20"/>
        </w:rPr>
        <w:t xml:space="preserve">.  </w:t>
      </w:r>
      <w:r w:rsidRPr="00887CC9">
        <w:rPr>
          <w:sz w:val="20"/>
        </w:rPr>
        <w:t>In addition, certain state</w:t>
      </w:r>
      <w:r w:rsidR="002A4725" w:rsidRPr="00887CC9">
        <w:rPr>
          <w:sz w:val="20"/>
        </w:rPr>
        <w:t xml:space="preserve"> assessments, deficits and the o</w:t>
      </w:r>
      <w:r w:rsidRPr="00887CC9">
        <w:rPr>
          <w:sz w:val="20"/>
        </w:rPr>
        <w:t>verlay must be added to determine the total budget amount</w:t>
      </w:r>
      <w:r w:rsidR="00CB5B13" w:rsidRPr="00887CC9">
        <w:rPr>
          <w:sz w:val="20"/>
        </w:rPr>
        <w:t xml:space="preserve">.  </w:t>
      </w:r>
      <w:r w:rsidRPr="00887CC9">
        <w:rPr>
          <w:sz w:val="20"/>
        </w:rPr>
        <w:t xml:space="preserve">The FY </w:t>
      </w:r>
      <w:r w:rsidR="004A5913">
        <w:rPr>
          <w:sz w:val="20"/>
        </w:rPr>
        <w:t>201</w:t>
      </w:r>
      <w:r w:rsidR="00C82660">
        <w:rPr>
          <w:sz w:val="20"/>
        </w:rPr>
        <w:t>8</w:t>
      </w:r>
      <w:r w:rsidRPr="00887CC9">
        <w:rPr>
          <w:sz w:val="20"/>
        </w:rPr>
        <w:t xml:space="preserve"> total General Fund budgeted amount is </w:t>
      </w:r>
      <w:r w:rsidR="00C42EA1" w:rsidRPr="00BC4E1F">
        <w:rPr>
          <w:sz w:val="20"/>
        </w:rPr>
        <w:t>$</w:t>
      </w:r>
      <w:r w:rsidR="00AD38C3">
        <w:rPr>
          <w:sz w:val="20"/>
        </w:rPr>
        <w:t>101,866,859</w:t>
      </w:r>
      <w:r w:rsidR="00CB5B13" w:rsidRPr="00BC4E1F">
        <w:rPr>
          <w:sz w:val="20"/>
        </w:rPr>
        <w:t xml:space="preserve">.  </w:t>
      </w:r>
      <w:r w:rsidRPr="00BC4E1F">
        <w:rPr>
          <w:sz w:val="20"/>
        </w:rPr>
        <w:t>Monies</w:t>
      </w:r>
      <w:r w:rsidRPr="00887CC9">
        <w:rPr>
          <w:sz w:val="20"/>
        </w:rPr>
        <w:t xml:space="preserve"> to support this local spending are raised by the property tax levy, state aid, local receipts and other sources</w:t>
      </w:r>
      <w:r w:rsidR="00CB5B13" w:rsidRPr="00887CC9">
        <w:rPr>
          <w:sz w:val="20"/>
        </w:rPr>
        <w:t xml:space="preserve">.  </w:t>
      </w:r>
      <w:r w:rsidRPr="00887CC9">
        <w:rPr>
          <w:sz w:val="20"/>
        </w:rPr>
        <w:t>The Maximum Permitted Levy is the total amount of money that can be raised through real and personal property taxes and is the largest source of revenue for the town</w:t>
      </w:r>
      <w:r w:rsidR="00CB5B13" w:rsidRPr="00887CC9">
        <w:rPr>
          <w:sz w:val="20"/>
        </w:rPr>
        <w:t xml:space="preserve">.  </w:t>
      </w:r>
      <w:r w:rsidRPr="00887CC9">
        <w:rPr>
          <w:sz w:val="20"/>
        </w:rPr>
        <w:t>The Maximum Permitted L</w:t>
      </w:r>
      <w:r w:rsidR="00E7016E" w:rsidRPr="00887CC9">
        <w:rPr>
          <w:sz w:val="20"/>
        </w:rPr>
        <w:t xml:space="preserve">evy in FY </w:t>
      </w:r>
      <w:r w:rsidR="004A5913">
        <w:rPr>
          <w:sz w:val="20"/>
        </w:rPr>
        <w:t>201</w:t>
      </w:r>
      <w:r w:rsidR="00AD38C3">
        <w:rPr>
          <w:sz w:val="20"/>
        </w:rPr>
        <w:t>8</w:t>
      </w:r>
      <w:r w:rsidR="002C17C6" w:rsidRPr="00887CC9">
        <w:rPr>
          <w:sz w:val="20"/>
        </w:rPr>
        <w:t>, including the debt exclusion</w:t>
      </w:r>
      <w:r w:rsidR="002C17C6" w:rsidRPr="0066423D">
        <w:rPr>
          <w:sz w:val="20"/>
        </w:rPr>
        <w:t xml:space="preserve">, </w:t>
      </w:r>
      <w:r w:rsidR="00E7016E" w:rsidRPr="0066423D">
        <w:rPr>
          <w:sz w:val="20"/>
        </w:rPr>
        <w:t>is</w:t>
      </w:r>
      <w:r w:rsidR="00236E7E" w:rsidRPr="0066423D">
        <w:rPr>
          <w:sz w:val="20"/>
        </w:rPr>
        <w:t xml:space="preserve"> $</w:t>
      </w:r>
      <w:r w:rsidR="00AD38C3">
        <w:rPr>
          <w:sz w:val="20"/>
        </w:rPr>
        <w:t>91,730,540</w:t>
      </w:r>
      <w:r w:rsidR="00CB5B13" w:rsidRPr="0066423D">
        <w:rPr>
          <w:sz w:val="20"/>
        </w:rPr>
        <w:t>.</w:t>
      </w:r>
      <w:r w:rsidR="00CB5B13" w:rsidRPr="00887CC9">
        <w:rPr>
          <w:sz w:val="20"/>
        </w:rPr>
        <w:t xml:space="preserve">  </w:t>
      </w:r>
      <w:r w:rsidR="002C17C6" w:rsidRPr="00887CC9">
        <w:rPr>
          <w:sz w:val="20"/>
        </w:rPr>
        <w:t xml:space="preserve">The actual levy </w:t>
      </w:r>
      <w:r w:rsidR="002C17C6" w:rsidRPr="00BC4E1F">
        <w:rPr>
          <w:sz w:val="20"/>
        </w:rPr>
        <w:t>is $</w:t>
      </w:r>
      <w:r w:rsidR="00E423B0" w:rsidRPr="0066423D">
        <w:rPr>
          <w:sz w:val="20"/>
        </w:rPr>
        <w:t>8</w:t>
      </w:r>
      <w:r w:rsidR="00AD38C3">
        <w:rPr>
          <w:sz w:val="20"/>
        </w:rPr>
        <w:t>7,8</w:t>
      </w:r>
      <w:r w:rsidR="0036187C">
        <w:rPr>
          <w:sz w:val="20"/>
        </w:rPr>
        <w:t>0</w:t>
      </w:r>
      <w:r w:rsidR="0041529F">
        <w:rPr>
          <w:sz w:val="20"/>
        </w:rPr>
        <w:t>7</w:t>
      </w:r>
      <w:r w:rsidR="0036187C">
        <w:rPr>
          <w:sz w:val="20"/>
        </w:rPr>
        <w:t>,</w:t>
      </w:r>
      <w:r w:rsidR="0041529F">
        <w:rPr>
          <w:sz w:val="20"/>
        </w:rPr>
        <w:t>057</w:t>
      </w:r>
      <w:r w:rsidR="007311E0" w:rsidRPr="00BC4E1F">
        <w:rPr>
          <w:sz w:val="20"/>
        </w:rPr>
        <w:t>.</w:t>
      </w:r>
      <w:r w:rsidR="007311E0" w:rsidRPr="00887CC9">
        <w:rPr>
          <w:sz w:val="20"/>
        </w:rPr>
        <w:t xml:space="preserve">  The difference between the maximum permitted levy and the actual levy is call</w:t>
      </w:r>
      <w:r w:rsidR="00E66D0C">
        <w:rPr>
          <w:sz w:val="20"/>
        </w:rPr>
        <w:t>ed</w:t>
      </w:r>
      <w:r w:rsidR="007311E0" w:rsidRPr="00887CC9">
        <w:rPr>
          <w:sz w:val="20"/>
        </w:rPr>
        <w:t xml:space="preserve"> </w:t>
      </w:r>
      <w:r w:rsidR="00C809D1">
        <w:rPr>
          <w:sz w:val="20"/>
        </w:rPr>
        <w:t>excess levy capacity</w:t>
      </w:r>
      <w:r w:rsidR="007311E0" w:rsidRPr="00887CC9">
        <w:rPr>
          <w:sz w:val="20"/>
        </w:rPr>
        <w:t>.  For FY</w:t>
      </w:r>
      <w:r w:rsidR="00182261">
        <w:rPr>
          <w:sz w:val="20"/>
        </w:rPr>
        <w:t xml:space="preserve"> </w:t>
      </w:r>
      <w:r w:rsidR="004A5913">
        <w:rPr>
          <w:sz w:val="20"/>
        </w:rPr>
        <w:t>201</w:t>
      </w:r>
      <w:r w:rsidR="00AD38C3">
        <w:rPr>
          <w:sz w:val="20"/>
        </w:rPr>
        <w:t>8</w:t>
      </w:r>
      <w:r w:rsidR="007311E0" w:rsidRPr="00887CC9">
        <w:rPr>
          <w:sz w:val="20"/>
        </w:rPr>
        <w:t xml:space="preserve"> the </w:t>
      </w:r>
      <w:r w:rsidR="00E66D0C">
        <w:rPr>
          <w:sz w:val="20"/>
        </w:rPr>
        <w:t>U</w:t>
      </w:r>
      <w:r w:rsidR="007311E0" w:rsidRPr="00887CC9">
        <w:rPr>
          <w:sz w:val="20"/>
        </w:rPr>
        <w:t xml:space="preserve">nused </w:t>
      </w:r>
      <w:r w:rsidR="00E66D0C">
        <w:rPr>
          <w:sz w:val="20"/>
        </w:rPr>
        <w:t>L</w:t>
      </w:r>
      <w:r w:rsidR="007311E0" w:rsidRPr="00887CC9">
        <w:rPr>
          <w:sz w:val="20"/>
        </w:rPr>
        <w:t xml:space="preserve">evy </w:t>
      </w:r>
      <w:r w:rsidR="00E66D0C">
        <w:rPr>
          <w:sz w:val="20"/>
        </w:rPr>
        <w:t>L</w:t>
      </w:r>
      <w:r w:rsidR="007311E0" w:rsidRPr="00887CC9">
        <w:rPr>
          <w:sz w:val="20"/>
        </w:rPr>
        <w:t>imit is</w:t>
      </w:r>
      <w:r w:rsidR="00236E7E" w:rsidRPr="00887CC9">
        <w:rPr>
          <w:sz w:val="20"/>
        </w:rPr>
        <w:t xml:space="preserve"> </w:t>
      </w:r>
      <w:r w:rsidR="00236E7E" w:rsidRPr="0066423D">
        <w:rPr>
          <w:sz w:val="20"/>
        </w:rPr>
        <w:t>$</w:t>
      </w:r>
      <w:r w:rsidR="00AD38C3">
        <w:rPr>
          <w:sz w:val="20"/>
        </w:rPr>
        <w:t>3,9</w:t>
      </w:r>
      <w:r w:rsidR="0036187C">
        <w:rPr>
          <w:sz w:val="20"/>
        </w:rPr>
        <w:t>2</w:t>
      </w:r>
      <w:r w:rsidR="0041529F">
        <w:rPr>
          <w:sz w:val="20"/>
        </w:rPr>
        <w:t>3</w:t>
      </w:r>
      <w:r w:rsidR="0036187C">
        <w:rPr>
          <w:sz w:val="20"/>
        </w:rPr>
        <w:t>,</w:t>
      </w:r>
      <w:r w:rsidR="0041529F">
        <w:rPr>
          <w:sz w:val="20"/>
        </w:rPr>
        <w:t>783</w:t>
      </w:r>
      <w:r w:rsidR="00E2207E" w:rsidRPr="0066423D">
        <w:rPr>
          <w:sz w:val="20"/>
        </w:rPr>
        <w:t>.</w:t>
      </w:r>
      <w:r w:rsidR="00CB5B13" w:rsidRPr="0066423D">
        <w:rPr>
          <w:sz w:val="20"/>
        </w:rPr>
        <w:t xml:space="preserve">  </w:t>
      </w:r>
      <w:r w:rsidRPr="0066423D">
        <w:rPr>
          <w:sz w:val="20"/>
        </w:rPr>
        <w:t>The Levy</w:t>
      </w:r>
      <w:r w:rsidRPr="00887CC9">
        <w:rPr>
          <w:sz w:val="20"/>
        </w:rPr>
        <w:t xml:space="preserve"> Limit is calculated as follows:</w:t>
      </w:r>
    </w:p>
    <w:p w:rsidR="008E2090" w:rsidRDefault="008E2090" w:rsidP="003B5B25">
      <w:pPr>
        <w:pStyle w:val="BodyText"/>
        <w:ind w:left="0" w:firstLine="720"/>
        <w:jc w:val="left"/>
        <w:rPr>
          <w:sz w:val="20"/>
        </w:rPr>
      </w:pPr>
    </w:p>
    <w:p w:rsidR="008E2090" w:rsidRDefault="008E2090" w:rsidP="003B5B25">
      <w:pPr>
        <w:pStyle w:val="BodyText"/>
        <w:ind w:left="0" w:firstLine="720"/>
        <w:jc w:val="left"/>
        <w:rPr>
          <w:sz w:val="20"/>
        </w:rPr>
      </w:pPr>
    </w:p>
    <w:p w:rsidR="008E2090" w:rsidRPr="00887CC9" w:rsidRDefault="008E2090" w:rsidP="003B5B25">
      <w:pPr>
        <w:pStyle w:val="BodyText"/>
        <w:ind w:left="0" w:firstLine="720"/>
        <w:jc w:val="left"/>
        <w:rPr>
          <w:sz w:val="20"/>
        </w:rPr>
      </w:pPr>
    </w:p>
    <w:p w:rsidR="00AD773B" w:rsidRPr="00887CC9" w:rsidRDefault="00AD773B" w:rsidP="00AD773B">
      <w:pPr>
        <w:pStyle w:val="BodyText"/>
        <w:ind w:left="0" w:firstLine="720"/>
        <w:rPr>
          <w:sz w:val="20"/>
        </w:rPr>
      </w:pPr>
    </w:p>
    <w:p w:rsidR="00AD773B" w:rsidRDefault="006648DE" w:rsidP="00AD773B">
      <w:pPr>
        <w:pStyle w:val="BodyText"/>
        <w:tabs>
          <w:tab w:val="decimal" w:pos="6930"/>
        </w:tabs>
        <w:ind w:left="720" w:firstLine="360"/>
        <w:jc w:val="left"/>
        <w:rPr>
          <w:sz w:val="20"/>
        </w:rPr>
      </w:pPr>
      <w:r w:rsidRPr="00887CC9">
        <w:rPr>
          <w:sz w:val="20"/>
        </w:rPr>
        <w:t>FY</w:t>
      </w:r>
      <w:r w:rsidR="007A59AD" w:rsidRPr="00887CC9">
        <w:rPr>
          <w:sz w:val="20"/>
        </w:rPr>
        <w:t>201</w:t>
      </w:r>
      <w:r w:rsidR="00AD38C3">
        <w:rPr>
          <w:sz w:val="20"/>
        </w:rPr>
        <w:t>7</w:t>
      </w:r>
      <w:r w:rsidR="00937950" w:rsidRPr="00887CC9">
        <w:rPr>
          <w:sz w:val="20"/>
        </w:rPr>
        <w:t xml:space="preserve"> Levy Limit</w:t>
      </w:r>
      <w:r w:rsidR="00937950" w:rsidRPr="00887CC9">
        <w:rPr>
          <w:sz w:val="20"/>
        </w:rPr>
        <w:tab/>
        <w:t>$</w:t>
      </w:r>
      <w:r w:rsidR="00AD38C3">
        <w:rPr>
          <w:sz w:val="20"/>
        </w:rPr>
        <w:t>82,116,773</w:t>
      </w:r>
    </w:p>
    <w:p w:rsidR="00EA5AC9" w:rsidRPr="00AD38C3" w:rsidRDefault="00EA5AC9" w:rsidP="00EA5AC9">
      <w:pPr>
        <w:pStyle w:val="BodyText"/>
        <w:tabs>
          <w:tab w:val="decimal" w:pos="6930"/>
        </w:tabs>
        <w:ind w:left="720" w:firstLine="360"/>
        <w:jc w:val="left"/>
        <w:rPr>
          <w:sz w:val="20"/>
        </w:rPr>
      </w:pPr>
      <w:r>
        <w:rPr>
          <w:sz w:val="20"/>
        </w:rPr>
        <w:t>Fy 1</w:t>
      </w:r>
      <w:r w:rsidR="00AD38C3">
        <w:rPr>
          <w:sz w:val="20"/>
        </w:rPr>
        <w:t>7</w:t>
      </w:r>
      <w:r>
        <w:rPr>
          <w:sz w:val="20"/>
        </w:rPr>
        <w:t xml:space="preserve"> New Growth Adjustment</w:t>
      </w:r>
      <w:r w:rsidR="00BC4E1F">
        <w:rPr>
          <w:sz w:val="20"/>
        </w:rPr>
        <w:t xml:space="preserve"> </w:t>
      </w:r>
      <w:r w:rsidR="00BC4E1F" w:rsidRPr="00887CC9">
        <w:rPr>
          <w:b/>
          <w:i/>
          <w:sz w:val="20"/>
        </w:rPr>
        <w:t>(form LA-13</w:t>
      </w:r>
      <w:r w:rsidR="00234AD2">
        <w:rPr>
          <w:b/>
          <w:i/>
          <w:sz w:val="20"/>
        </w:rPr>
        <w:t>a</w:t>
      </w:r>
      <w:r w:rsidR="00234AD2" w:rsidRPr="00AD38C3">
        <w:rPr>
          <w:sz w:val="20"/>
        </w:rPr>
        <w:t xml:space="preserve">)                  </w:t>
      </w:r>
      <w:r w:rsidR="00AD38C3" w:rsidRPr="00AD38C3">
        <w:rPr>
          <w:sz w:val="20"/>
        </w:rPr>
        <w:t xml:space="preserve"> </w:t>
      </w:r>
      <w:r w:rsidR="00AD38C3">
        <w:rPr>
          <w:sz w:val="20"/>
        </w:rPr>
        <w:t xml:space="preserve">  </w:t>
      </w:r>
      <w:r w:rsidR="00182261" w:rsidRPr="00AD38C3">
        <w:rPr>
          <w:sz w:val="20"/>
        </w:rPr>
        <w:t>$</w:t>
      </w:r>
      <w:r w:rsidR="00042D31" w:rsidRPr="00AD38C3">
        <w:rPr>
          <w:sz w:val="20"/>
        </w:rPr>
        <w:t xml:space="preserve"> </w:t>
      </w:r>
      <w:r w:rsidR="00AD38C3">
        <w:rPr>
          <w:sz w:val="20"/>
        </w:rPr>
        <w:t xml:space="preserve">      </w:t>
      </w:r>
      <w:r w:rsidR="00AD38C3" w:rsidRPr="00AD38C3">
        <w:rPr>
          <w:sz w:val="20"/>
        </w:rPr>
        <w:t xml:space="preserve">         0</w:t>
      </w:r>
    </w:p>
    <w:p w:rsidR="00AD773B" w:rsidRPr="00887CC9" w:rsidRDefault="00AD773B" w:rsidP="00AD773B">
      <w:pPr>
        <w:pStyle w:val="BodyText"/>
        <w:tabs>
          <w:tab w:val="decimal" w:pos="6930"/>
        </w:tabs>
        <w:ind w:left="720" w:firstLine="360"/>
        <w:jc w:val="left"/>
        <w:rPr>
          <w:sz w:val="20"/>
        </w:rPr>
      </w:pPr>
      <w:r w:rsidRPr="00887CC9">
        <w:rPr>
          <w:sz w:val="20"/>
        </w:rPr>
        <w:t xml:space="preserve">2 </w:t>
      </w:r>
      <w:r w:rsidR="007A4DB7" w:rsidRPr="00887CC9">
        <w:rPr>
          <w:sz w:val="20"/>
        </w:rPr>
        <w:t>½% allowed increase</w:t>
      </w:r>
      <w:r w:rsidR="007A4DB7" w:rsidRPr="00887CC9">
        <w:rPr>
          <w:sz w:val="20"/>
        </w:rPr>
        <w:tab/>
      </w:r>
      <w:r w:rsidR="00182261">
        <w:rPr>
          <w:sz w:val="20"/>
        </w:rPr>
        <w:t>$</w:t>
      </w:r>
      <w:r w:rsidR="00AD38C3">
        <w:rPr>
          <w:sz w:val="20"/>
        </w:rPr>
        <w:t xml:space="preserve">  2,052,919</w:t>
      </w:r>
    </w:p>
    <w:p w:rsidR="00AD773B" w:rsidRDefault="00AD773B" w:rsidP="00E41A26">
      <w:pPr>
        <w:pStyle w:val="BodyText"/>
        <w:tabs>
          <w:tab w:val="decimal" w:pos="6930"/>
        </w:tabs>
        <w:ind w:left="720" w:firstLine="360"/>
        <w:jc w:val="left"/>
        <w:rPr>
          <w:sz w:val="20"/>
        </w:rPr>
      </w:pPr>
      <w:r w:rsidRPr="00887CC9">
        <w:rPr>
          <w:sz w:val="20"/>
        </w:rPr>
        <w:t xml:space="preserve">New Growth </w:t>
      </w:r>
      <w:r w:rsidRPr="00887CC9">
        <w:rPr>
          <w:b/>
          <w:i/>
          <w:sz w:val="20"/>
        </w:rPr>
        <w:t>(form LA-13)</w:t>
      </w:r>
      <w:r w:rsidRPr="00887CC9">
        <w:rPr>
          <w:sz w:val="20"/>
        </w:rPr>
        <w:tab/>
      </w:r>
      <w:r w:rsidR="00B756BE" w:rsidRPr="00887CC9">
        <w:rPr>
          <w:sz w:val="20"/>
          <w:u w:val="single"/>
        </w:rPr>
        <w:t xml:space="preserve"> </w:t>
      </w:r>
      <w:r w:rsidR="00182261">
        <w:rPr>
          <w:sz w:val="20"/>
          <w:u w:val="single"/>
        </w:rPr>
        <w:t>$</w:t>
      </w:r>
      <w:r w:rsidR="00AD38C3">
        <w:rPr>
          <w:sz w:val="20"/>
          <w:u w:val="single"/>
        </w:rPr>
        <w:t xml:space="preserve">  </w:t>
      </w:r>
      <w:r w:rsidR="00234AD2">
        <w:rPr>
          <w:sz w:val="20"/>
          <w:u w:val="single"/>
        </w:rPr>
        <w:t>1</w:t>
      </w:r>
      <w:r w:rsidR="00AD38C3">
        <w:rPr>
          <w:sz w:val="20"/>
          <w:u w:val="single"/>
        </w:rPr>
        <w:t>,321,330</w:t>
      </w:r>
      <w:r w:rsidR="00B756BE" w:rsidRPr="00887CC9">
        <w:rPr>
          <w:sz w:val="20"/>
          <w:u w:val="single"/>
        </w:rPr>
        <w:t xml:space="preserve"> </w:t>
      </w:r>
      <w:r w:rsidR="007B735D" w:rsidRPr="00887CC9">
        <w:rPr>
          <w:sz w:val="20"/>
          <w:u w:val="single"/>
        </w:rPr>
        <w:t xml:space="preserve">  </w:t>
      </w:r>
      <w:r w:rsidR="00B756BE" w:rsidRPr="00887CC9">
        <w:rPr>
          <w:sz w:val="20"/>
          <w:u w:val="single"/>
        </w:rPr>
        <w:t xml:space="preserve">  </w:t>
      </w:r>
      <w:r w:rsidR="00E41A26">
        <w:rPr>
          <w:sz w:val="20"/>
        </w:rPr>
        <w:t xml:space="preserve">  </w:t>
      </w:r>
    </w:p>
    <w:p w:rsidR="00E41A26" w:rsidRPr="00E41A26" w:rsidRDefault="00E41A26" w:rsidP="00E41A26">
      <w:pPr>
        <w:pStyle w:val="BodyText"/>
        <w:tabs>
          <w:tab w:val="decimal" w:pos="6930"/>
        </w:tabs>
        <w:ind w:left="0"/>
        <w:jc w:val="left"/>
        <w:rPr>
          <w:sz w:val="16"/>
          <w:szCs w:val="16"/>
        </w:rPr>
      </w:pPr>
    </w:p>
    <w:p w:rsidR="00AD773B" w:rsidRPr="00BC4E1F" w:rsidRDefault="00AD773B" w:rsidP="00AD773B">
      <w:pPr>
        <w:pStyle w:val="BodyText"/>
        <w:tabs>
          <w:tab w:val="decimal" w:pos="6930"/>
        </w:tabs>
        <w:ind w:left="720" w:firstLine="360"/>
        <w:jc w:val="left"/>
        <w:rPr>
          <w:sz w:val="20"/>
        </w:rPr>
      </w:pPr>
      <w:r w:rsidRPr="00BC4E1F">
        <w:rPr>
          <w:sz w:val="20"/>
        </w:rPr>
        <w:t>TOTAL (</w:t>
      </w:r>
      <w:r w:rsidRPr="00BC4E1F">
        <w:rPr>
          <w:b/>
          <w:i/>
          <w:sz w:val="20"/>
        </w:rPr>
        <w:t>before debt exclusion and override</w:t>
      </w:r>
      <w:r w:rsidR="006121B2" w:rsidRPr="00BC4E1F">
        <w:rPr>
          <w:sz w:val="20"/>
        </w:rPr>
        <w:t>)</w:t>
      </w:r>
      <w:r w:rsidR="006121B2" w:rsidRPr="00BC4E1F">
        <w:rPr>
          <w:sz w:val="20"/>
        </w:rPr>
        <w:tab/>
        <w:t>$</w:t>
      </w:r>
      <w:r w:rsidR="00042D31">
        <w:rPr>
          <w:sz w:val="20"/>
        </w:rPr>
        <w:t>8</w:t>
      </w:r>
      <w:r w:rsidR="00AD38C3">
        <w:rPr>
          <w:sz w:val="20"/>
        </w:rPr>
        <w:t>5,491,022</w:t>
      </w:r>
    </w:p>
    <w:p w:rsidR="00AD773B" w:rsidRPr="004753EE" w:rsidRDefault="00AD773B" w:rsidP="00E41A26">
      <w:pPr>
        <w:pStyle w:val="BodyText"/>
        <w:tabs>
          <w:tab w:val="decimal" w:pos="6930"/>
        </w:tabs>
        <w:ind w:left="0"/>
        <w:jc w:val="left"/>
        <w:rPr>
          <w:sz w:val="16"/>
          <w:szCs w:val="16"/>
          <w:highlight w:val="red"/>
        </w:rPr>
      </w:pPr>
    </w:p>
    <w:p w:rsidR="00AD773B" w:rsidRPr="0066423D" w:rsidRDefault="006121B2" w:rsidP="00AD773B">
      <w:pPr>
        <w:pStyle w:val="BodyText"/>
        <w:tabs>
          <w:tab w:val="decimal" w:pos="6930"/>
        </w:tabs>
        <w:ind w:left="720" w:firstLine="360"/>
        <w:jc w:val="left"/>
        <w:rPr>
          <w:sz w:val="20"/>
        </w:rPr>
      </w:pPr>
      <w:r w:rsidRPr="0066423D">
        <w:rPr>
          <w:sz w:val="20"/>
        </w:rPr>
        <w:t>DEBT EXCLUSION</w:t>
      </w:r>
      <w:r w:rsidRPr="0066423D">
        <w:rPr>
          <w:sz w:val="20"/>
        </w:rPr>
        <w:tab/>
        <w:t xml:space="preserve">  </w:t>
      </w:r>
      <w:r w:rsidR="00182261">
        <w:rPr>
          <w:sz w:val="20"/>
        </w:rPr>
        <w:t>$</w:t>
      </w:r>
      <w:r w:rsidR="00042D31">
        <w:rPr>
          <w:sz w:val="20"/>
        </w:rPr>
        <w:t>6,2</w:t>
      </w:r>
      <w:r w:rsidR="00AD38C3">
        <w:rPr>
          <w:sz w:val="20"/>
        </w:rPr>
        <w:t>39</w:t>
      </w:r>
      <w:r w:rsidR="00042D31">
        <w:rPr>
          <w:sz w:val="20"/>
        </w:rPr>
        <w:t>,</w:t>
      </w:r>
      <w:r w:rsidR="00AD38C3">
        <w:rPr>
          <w:sz w:val="20"/>
        </w:rPr>
        <w:t>5</w:t>
      </w:r>
      <w:r w:rsidR="00042D31">
        <w:rPr>
          <w:sz w:val="20"/>
        </w:rPr>
        <w:t>18</w:t>
      </w:r>
    </w:p>
    <w:p w:rsidR="00AD773B" w:rsidRPr="0066423D" w:rsidRDefault="00AD773B" w:rsidP="00AD773B">
      <w:pPr>
        <w:pStyle w:val="BodyText"/>
        <w:tabs>
          <w:tab w:val="decimal" w:pos="6930"/>
        </w:tabs>
        <w:ind w:left="720" w:firstLine="360"/>
        <w:jc w:val="left"/>
        <w:rPr>
          <w:b/>
          <w:i/>
          <w:sz w:val="20"/>
        </w:rPr>
      </w:pPr>
      <w:r w:rsidRPr="0066423D">
        <w:rPr>
          <w:b/>
          <w:i/>
          <w:sz w:val="20"/>
        </w:rPr>
        <w:t xml:space="preserve"> (</w:t>
      </w:r>
      <w:r w:rsidR="00130844" w:rsidRPr="0066423D">
        <w:rPr>
          <w:b/>
          <w:i/>
          <w:sz w:val="20"/>
        </w:rPr>
        <w:t>Principal</w:t>
      </w:r>
      <w:r w:rsidRPr="0066423D">
        <w:rPr>
          <w:b/>
          <w:i/>
          <w:sz w:val="20"/>
        </w:rPr>
        <w:t xml:space="preserve"> and interest due on debt</w:t>
      </w:r>
      <w:r w:rsidR="007A4DB7" w:rsidRPr="0066423D">
        <w:rPr>
          <w:b/>
          <w:i/>
          <w:sz w:val="20"/>
        </w:rPr>
        <w:t xml:space="preserve"> authorized</w:t>
      </w:r>
      <w:r w:rsidRPr="0066423D">
        <w:rPr>
          <w:b/>
          <w:i/>
          <w:sz w:val="20"/>
        </w:rPr>
        <w:t xml:space="preserve"> </w:t>
      </w:r>
    </w:p>
    <w:p w:rsidR="00A0639B" w:rsidRPr="0066423D" w:rsidRDefault="007A4DB7" w:rsidP="00A0639B">
      <w:pPr>
        <w:pStyle w:val="BodyText"/>
        <w:tabs>
          <w:tab w:val="decimal" w:pos="6930"/>
        </w:tabs>
        <w:ind w:left="720" w:firstLine="360"/>
        <w:jc w:val="left"/>
        <w:rPr>
          <w:b/>
          <w:i/>
          <w:sz w:val="20"/>
        </w:rPr>
      </w:pPr>
      <w:r w:rsidRPr="0066423D">
        <w:rPr>
          <w:b/>
          <w:i/>
          <w:sz w:val="20"/>
        </w:rPr>
        <w:t xml:space="preserve"> </w:t>
      </w:r>
      <w:r w:rsidR="00AD773B" w:rsidRPr="0066423D">
        <w:rPr>
          <w:b/>
          <w:i/>
          <w:sz w:val="20"/>
        </w:rPr>
        <w:t>to be repaid from taxation above the levy limit)</w:t>
      </w:r>
    </w:p>
    <w:p w:rsidR="00E41A26" w:rsidRPr="004753EE" w:rsidRDefault="00E41A26" w:rsidP="00E41A26">
      <w:pPr>
        <w:pStyle w:val="BodyText"/>
        <w:tabs>
          <w:tab w:val="decimal" w:pos="6930"/>
        </w:tabs>
        <w:ind w:left="0"/>
        <w:jc w:val="left"/>
        <w:rPr>
          <w:sz w:val="16"/>
          <w:szCs w:val="16"/>
          <w:highlight w:val="red"/>
        </w:rPr>
      </w:pPr>
    </w:p>
    <w:p w:rsidR="00AD773B" w:rsidRPr="0066423D" w:rsidRDefault="00AD773B" w:rsidP="00AD773B">
      <w:pPr>
        <w:pStyle w:val="BodyText"/>
        <w:tabs>
          <w:tab w:val="decimal" w:pos="6930"/>
        </w:tabs>
        <w:ind w:left="720" w:firstLine="360"/>
        <w:jc w:val="left"/>
        <w:rPr>
          <w:sz w:val="20"/>
        </w:rPr>
      </w:pPr>
      <w:r w:rsidRPr="0066423D">
        <w:rPr>
          <w:sz w:val="20"/>
        </w:rPr>
        <w:t>OVERRIDE</w:t>
      </w:r>
      <w:r w:rsidRPr="0066423D">
        <w:rPr>
          <w:sz w:val="20"/>
        </w:rPr>
        <w:tab/>
      </w:r>
      <w:r w:rsidR="007A4DB7" w:rsidRPr="0066423D">
        <w:rPr>
          <w:sz w:val="20"/>
          <w:u w:val="single"/>
        </w:rPr>
        <w:t xml:space="preserve"> </w:t>
      </w:r>
      <w:r w:rsidRPr="0066423D">
        <w:rPr>
          <w:sz w:val="20"/>
          <w:u w:val="single"/>
        </w:rPr>
        <w:t xml:space="preserve">     </w:t>
      </w:r>
      <w:r w:rsidR="00D34CF5" w:rsidRPr="0066423D">
        <w:rPr>
          <w:sz w:val="20"/>
          <w:u w:val="single"/>
        </w:rPr>
        <w:t xml:space="preserve">           0</w:t>
      </w:r>
      <w:r w:rsidRPr="0066423D">
        <w:rPr>
          <w:sz w:val="20"/>
        </w:rPr>
        <w:t xml:space="preserve">  </w:t>
      </w:r>
    </w:p>
    <w:p w:rsidR="00AD773B" w:rsidRPr="004753EE" w:rsidRDefault="00AD773B" w:rsidP="00E41A26">
      <w:pPr>
        <w:pStyle w:val="BodyText"/>
        <w:tabs>
          <w:tab w:val="decimal" w:pos="6930"/>
        </w:tabs>
        <w:ind w:left="0"/>
        <w:jc w:val="left"/>
        <w:rPr>
          <w:sz w:val="16"/>
          <w:szCs w:val="16"/>
          <w:highlight w:val="red"/>
        </w:rPr>
      </w:pPr>
    </w:p>
    <w:p w:rsidR="00AD773B" w:rsidRPr="0066423D" w:rsidRDefault="00AD773B" w:rsidP="00AD773B">
      <w:pPr>
        <w:pStyle w:val="BodyText"/>
        <w:tabs>
          <w:tab w:val="decimal" w:pos="6930"/>
        </w:tabs>
        <w:ind w:left="720" w:firstLine="360"/>
        <w:jc w:val="left"/>
        <w:rPr>
          <w:sz w:val="20"/>
        </w:rPr>
      </w:pPr>
      <w:r w:rsidRPr="0066423D">
        <w:rPr>
          <w:sz w:val="20"/>
        </w:rPr>
        <w:t>MAXIMUM PERMITTED LEVY</w:t>
      </w:r>
      <w:r w:rsidRPr="0066423D">
        <w:rPr>
          <w:sz w:val="20"/>
        </w:rPr>
        <w:tab/>
      </w:r>
      <w:r w:rsidRPr="0066423D">
        <w:rPr>
          <w:sz w:val="20"/>
          <w:u w:val="double"/>
        </w:rPr>
        <w:t>$</w:t>
      </w:r>
      <w:r w:rsidR="00AD38C3">
        <w:rPr>
          <w:sz w:val="20"/>
          <w:u w:val="double"/>
        </w:rPr>
        <w:t>91,730,540</w:t>
      </w:r>
    </w:p>
    <w:p w:rsidR="00AD773B" w:rsidRPr="0066423D" w:rsidRDefault="00AD773B" w:rsidP="00E41A26">
      <w:pPr>
        <w:pStyle w:val="BodyText"/>
        <w:tabs>
          <w:tab w:val="decimal" w:pos="6930"/>
        </w:tabs>
        <w:ind w:left="0"/>
        <w:jc w:val="left"/>
        <w:rPr>
          <w:sz w:val="16"/>
          <w:szCs w:val="16"/>
        </w:rPr>
      </w:pPr>
    </w:p>
    <w:p w:rsidR="00AD773B" w:rsidRPr="0066423D" w:rsidRDefault="00AD773B" w:rsidP="00AC6E24">
      <w:pPr>
        <w:pStyle w:val="BodyText"/>
        <w:tabs>
          <w:tab w:val="decimal" w:pos="6930"/>
        </w:tabs>
        <w:ind w:left="720" w:right="-1152" w:firstLine="360"/>
        <w:jc w:val="left"/>
        <w:rPr>
          <w:sz w:val="20"/>
        </w:rPr>
      </w:pPr>
      <w:r w:rsidRPr="0066423D">
        <w:rPr>
          <w:sz w:val="20"/>
        </w:rPr>
        <w:t>FY</w:t>
      </w:r>
      <w:r w:rsidR="00AC6E24">
        <w:rPr>
          <w:sz w:val="20"/>
        </w:rPr>
        <w:t>201</w:t>
      </w:r>
      <w:r w:rsidR="00AD38C3">
        <w:rPr>
          <w:sz w:val="20"/>
        </w:rPr>
        <w:t>8</w:t>
      </w:r>
      <w:r w:rsidR="0061412F" w:rsidRPr="0066423D">
        <w:rPr>
          <w:sz w:val="20"/>
        </w:rPr>
        <w:t xml:space="preserve"> PROPERTY TAX LEV</w:t>
      </w:r>
      <w:r w:rsidR="006121B2" w:rsidRPr="0066423D">
        <w:rPr>
          <w:sz w:val="20"/>
        </w:rPr>
        <w:t>Y</w:t>
      </w:r>
      <w:r w:rsidR="006121B2" w:rsidRPr="0066423D">
        <w:rPr>
          <w:sz w:val="20"/>
        </w:rPr>
        <w:tab/>
        <w:t>$</w:t>
      </w:r>
      <w:r w:rsidR="00234AD2">
        <w:rPr>
          <w:sz w:val="20"/>
        </w:rPr>
        <w:t>8</w:t>
      </w:r>
      <w:r w:rsidR="00AD38C3">
        <w:rPr>
          <w:sz w:val="20"/>
        </w:rPr>
        <w:t>7</w:t>
      </w:r>
      <w:r w:rsidR="00042D31">
        <w:rPr>
          <w:sz w:val="20"/>
        </w:rPr>
        <w:t>,</w:t>
      </w:r>
      <w:r w:rsidR="00AD38C3">
        <w:rPr>
          <w:sz w:val="20"/>
        </w:rPr>
        <w:t>8</w:t>
      </w:r>
      <w:r w:rsidR="0036187C">
        <w:rPr>
          <w:sz w:val="20"/>
        </w:rPr>
        <w:t>0</w:t>
      </w:r>
      <w:r w:rsidR="0041529F">
        <w:rPr>
          <w:sz w:val="20"/>
        </w:rPr>
        <w:t>7</w:t>
      </w:r>
      <w:r w:rsidR="0036187C">
        <w:rPr>
          <w:sz w:val="20"/>
        </w:rPr>
        <w:t>,</w:t>
      </w:r>
      <w:r w:rsidR="0041529F">
        <w:rPr>
          <w:sz w:val="20"/>
        </w:rPr>
        <w:t>057</w:t>
      </w:r>
    </w:p>
    <w:p w:rsidR="00177154" w:rsidRPr="0066423D" w:rsidRDefault="00177154" w:rsidP="00E41A26">
      <w:pPr>
        <w:pStyle w:val="BodyText"/>
        <w:tabs>
          <w:tab w:val="decimal" w:pos="6930"/>
        </w:tabs>
        <w:ind w:left="0"/>
        <w:jc w:val="left"/>
        <w:rPr>
          <w:sz w:val="16"/>
          <w:szCs w:val="16"/>
        </w:rPr>
      </w:pPr>
    </w:p>
    <w:p w:rsidR="0077321B" w:rsidRPr="00887CC9" w:rsidRDefault="00B756BE" w:rsidP="0077321B">
      <w:pPr>
        <w:pStyle w:val="BodyText"/>
        <w:tabs>
          <w:tab w:val="decimal" w:pos="6930"/>
        </w:tabs>
        <w:ind w:left="720" w:firstLine="360"/>
        <w:jc w:val="left"/>
        <w:rPr>
          <w:sz w:val="20"/>
        </w:rPr>
      </w:pPr>
      <w:r w:rsidRPr="0066423D">
        <w:rPr>
          <w:sz w:val="20"/>
        </w:rPr>
        <w:t>Unused Levy Li</w:t>
      </w:r>
      <w:r w:rsidR="006121B2" w:rsidRPr="0066423D">
        <w:rPr>
          <w:sz w:val="20"/>
        </w:rPr>
        <w:t>mit</w:t>
      </w:r>
      <w:r w:rsidR="006121B2" w:rsidRPr="0066423D">
        <w:rPr>
          <w:sz w:val="20"/>
        </w:rPr>
        <w:tab/>
        <w:t xml:space="preserve">$   </w:t>
      </w:r>
      <w:r w:rsidR="00AD38C3">
        <w:rPr>
          <w:sz w:val="20"/>
        </w:rPr>
        <w:t>3,9</w:t>
      </w:r>
      <w:r w:rsidR="0036187C">
        <w:rPr>
          <w:sz w:val="20"/>
        </w:rPr>
        <w:t>2</w:t>
      </w:r>
      <w:r w:rsidR="0041529F">
        <w:rPr>
          <w:sz w:val="20"/>
        </w:rPr>
        <w:t>3</w:t>
      </w:r>
      <w:r w:rsidR="00AD38C3">
        <w:rPr>
          <w:sz w:val="20"/>
        </w:rPr>
        <w:t>,</w:t>
      </w:r>
      <w:r w:rsidR="0041529F">
        <w:rPr>
          <w:sz w:val="20"/>
        </w:rPr>
        <w:t>783</w:t>
      </w:r>
    </w:p>
    <w:p w:rsidR="00AD773B" w:rsidRPr="00E41A26" w:rsidRDefault="00AD773B" w:rsidP="00E41A26">
      <w:pPr>
        <w:pStyle w:val="BodyText"/>
        <w:ind w:left="0"/>
        <w:jc w:val="left"/>
        <w:rPr>
          <w:sz w:val="16"/>
          <w:szCs w:val="16"/>
        </w:rPr>
      </w:pPr>
    </w:p>
    <w:p w:rsidR="00C57A24" w:rsidRDefault="00C57A24">
      <w:pPr>
        <w:rPr>
          <w:sz w:val="22"/>
          <w:szCs w:val="22"/>
        </w:rPr>
      </w:pPr>
    </w:p>
    <w:p w:rsidR="00AD773B" w:rsidRPr="009B6E0D" w:rsidRDefault="00AD773B" w:rsidP="003E619F">
      <w:pPr>
        <w:pStyle w:val="BodyText"/>
        <w:ind w:left="0"/>
        <w:jc w:val="center"/>
        <w:rPr>
          <w:sz w:val="22"/>
          <w:szCs w:val="22"/>
        </w:rPr>
        <w:sectPr w:rsidR="00AD773B" w:rsidRPr="009B6E0D" w:rsidSect="003E619F">
          <w:pgSz w:w="12240" w:h="15840"/>
          <w:pgMar w:top="1440" w:right="1152" w:bottom="720" w:left="1800" w:header="720" w:footer="720" w:gutter="0"/>
          <w:cols w:space="720"/>
        </w:sectPr>
      </w:pPr>
    </w:p>
    <w:p w:rsidR="00C57A24" w:rsidRDefault="001043FA">
      <w:pPr>
        <w:rPr>
          <w:b/>
        </w:rPr>
      </w:pPr>
      <w:r>
        <w:rPr>
          <w:noProof/>
        </w:rPr>
        <w:lastRenderedPageBreak/>
        <w:drawing>
          <wp:inline distT="0" distB="0" distL="0" distR="0">
            <wp:extent cx="3238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00F008C7" w:rsidRPr="00F008C7">
        <w:rPr>
          <w:b/>
        </w:rPr>
        <w:t xml:space="preserve"> </w:t>
      </w:r>
      <w:r w:rsidR="00F008C7" w:rsidRPr="00F008C7">
        <w:rPr>
          <w:noProof/>
        </w:rPr>
        <w:drawing>
          <wp:inline distT="0" distB="0" distL="0" distR="0" wp14:anchorId="2A68A683" wp14:editId="0BC8ADEF">
            <wp:extent cx="8778240" cy="495636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78240" cy="4956366"/>
                    </a:xfrm>
                    <a:prstGeom prst="rect">
                      <a:avLst/>
                    </a:prstGeom>
                    <a:noFill/>
                    <a:ln>
                      <a:noFill/>
                    </a:ln>
                  </pic:spPr>
                </pic:pic>
              </a:graphicData>
            </a:graphic>
          </wp:inline>
        </w:drawing>
      </w:r>
    </w:p>
    <w:p w:rsidR="00C57A24" w:rsidRDefault="00C57A24">
      <w:pPr>
        <w:rPr>
          <w:b/>
        </w:rPr>
      </w:pPr>
      <w:r>
        <w:rPr>
          <w:b/>
        </w:rPr>
        <w:br w:type="page"/>
      </w:r>
    </w:p>
    <w:p w:rsidR="007E01C3" w:rsidRDefault="00F008C7" w:rsidP="00F008C7">
      <w:pPr>
        <w:rPr>
          <w:b/>
        </w:rPr>
        <w:sectPr w:rsidR="007E01C3" w:rsidSect="00A412D4">
          <w:headerReference w:type="even" r:id="rId13"/>
          <w:pgSz w:w="15840" w:h="12240" w:orient="landscape" w:code="1"/>
          <w:pgMar w:top="450" w:right="1008" w:bottom="270" w:left="1008" w:header="720" w:footer="720" w:gutter="0"/>
          <w:cols w:space="720"/>
          <w:vAlign w:val="center"/>
          <w:docGrid w:linePitch="272"/>
        </w:sectPr>
      </w:pPr>
      <w:r w:rsidRPr="00F008C7">
        <w:rPr>
          <w:noProof/>
        </w:rPr>
        <w:lastRenderedPageBreak/>
        <w:drawing>
          <wp:inline distT="0" distB="0" distL="0" distR="0" wp14:anchorId="49AE6101" wp14:editId="41CC3EB3">
            <wp:extent cx="8778240" cy="6553931"/>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78240" cy="6553931"/>
                    </a:xfrm>
                    <a:prstGeom prst="rect">
                      <a:avLst/>
                    </a:prstGeom>
                    <a:noFill/>
                    <a:ln>
                      <a:noFill/>
                    </a:ln>
                  </pic:spPr>
                </pic:pic>
              </a:graphicData>
            </a:graphic>
          </wp:inline>
        </w:drawing>
      </w:r>
    </w:p>
    <w:p w:rsidR="0054288B" w:rsidRDefault="0054288B">
      <w:pPr>
        <w:pStyle w:val="BodyText"/>
        <w:ind w:left="0"/>
        <w:rPr>
          <w:b/>
          <w:sz w:val="20"/>
        </w:rPr>
      </w:pPr>
    </w:p>
    <w:p w:rsidR="0054288B" w:rsidRDefault="0054288B">
      <w:pPr>
        <w:pStyle w:val="BodyText"/>
        <w:ind w:left="0"/>
        <w:rPr>
          <w:b/>
          <w:sz w:val="20"/>
        </w:rPr>
      </w:pPr>
    </w:p>
    <w:p w:rsidR="009F7229" w:rsidRPr="00FE1A1A" w:rsidRDefault="009F7229">
      <w:pPr>
        <w:pStyle w:val="BodyText"/>
        <w:ind w:left="0"/>
        <w:rPr>
          <w:b/>
          <w:sz w:val="20"/>
        </w:rPr>
      </w:pPr>
      <w:r w:rsidRPr="00FE1A1A">
        <w:rPr>
          <w:b/>
          <w:sz w:val="20"/>
        </w:rPr>
        <w:t>II.</w:t>
      </w:r>
      <w:r w:rsidRPr="00FE1A1A">
        <w:rPr>
          <w:b/>
          <w:sz w:val="20"/>
        </w:rPr>
        <w:tab/>
        <w:t>Tax Rate</w:t>
      </w:r>
    </w:p>
    <w:p w:rsidR="009F7229" w:rsidRPr="00FE1A1A" w:rsidRDefault="009F7229">
      <w:pPr>
        <w:pStyle w:val="BodyText"/>
        <w:rPr>
          <w:sz w:val="20"/>
        </w:rPr>
      </w:pPr>
      <w:r w:rsidRPr="00FE1A1A">
        <w:rPr>
          <w:sz w:val="20"/>
        </w:rPr>
        <w:t xml:space="preserve">  </w:t>
      </w:r>
    </w:p>
    <w:p w:rsidR="009F7229" w:rsidRPr="00FE1A1A" w:rsidRDefault="009F7229">
      <w:pPr>
        <w:pStyle w:val="BodyText"/>
        <w:ind w:left="0" w:firstLine="720"/>
        <w:rPr>
          <w:sz w:val="20"/>
        </w:rPr>
      </w:pPr>
      <w:r w:rsidRPr="00FE1A1A">
        <w:rPr>
          <w:sz w:val="20"/>
        </w:rPr>
        <w:t xml:space="preserve"> The tax rate, in its simplest form, is the tax levy divided by the town’s taxable valuation</w:t>
      </w:r>
      <w:r w:rsidR="00CB5B13" w:rsidRPr="00FE1A1A">
        <w:rPr>
          <w:sz w:val="20"/>
        </w:rPr>
        <w:t xml:space="preserve">.  </w:t>
      </w:r>
      <w:r w:rsidRPr="00FE1A1A">
        <w:rPr>
          <w:sz w:val="20"/>
        </w:rPr>
        <w:t xml:space="preserve">This is called the </w:t>
      </w:r>
      <w:r w:rsidRPr="00FE1A1A">
        <w:rPr>
          <w:i/>
          <w:sz w:val="20"/>
        </w:rPr>
        <w:t>Uniform Tax Rat</w:t>
      </w:r>
      <w:r w:rsidR="007311E0" w:rsidRPr="00FE1A1A">
        <w:rPr>
          <w:i/>
          <w:sz w:val="20"/>
        </w:rPr>
        <w:t>e.</w:t>
      </w:r>
      <w:r w:rsidR="007311E0" w:rsidRPr="00FE1A1A">
        <w:rPr>
          <w:sz w:val="20"/>
        </w:rPr>
        <w:t xml:space="preserve">  U</w:t>
      </w:r>
      <w:r w:rsidRPr="00FE1A1A">
        <w:rPr>
          <w:sz w:val="20"/>
        </w:rPr>
        <w:t xml:space="preserve">nder this rate each class of property pays a share of the tax levy </w:t>
      </w:r>
      <w:r w:rsidRPr="00FE1A1A">
        <w:rPr>
          <w:i/>
          <w:sz w:val="20"/>
        </w:rPr>
        <w:t>equal</w:t>
      </w:r>
      <w:r w:rsidRPr="00FE1A1A">
        <w:rPr>
          <w:sz w:val="20"/>
        </w:rPr>
        <w:t xml:space="preserve"> to its share of the total town value</w:t>
      </w:r>
      <w:r w:rsidR="00CB5B13" w:rsidRPr="00FE1A1A">
        <w:rPr>
          <w:sz w:val="20"/>
        </w:rPr>
        <w:t xml:space="preserve">.  </w:t>
      </w:r>
      <w:r w:rsidRPr="00FE1A1A">
        <w:rPr>
          <w:sz w:val="20"/>
        </w:rPr>
        <w:t>The calculation for the Town of Concord</w:t>
      </w:r>
      <w:r w:rsidR="000B2038" w:rsidRPr="00FE1A1A">
        <w:rPr>
          <w:sz w:val="20"/>
        </w:rPr>
        <w:t xml:space="preserve"> for FY </w:t>
      </w:r>
      <w:r w:rsidR="004A5913">
        <w:rPr>
          <w:sz w:val="20"/>
        </w:rPr>
        <w:t>201</w:t>
      </w:r>
      <w:r w:rsidR="0036187C">
        <w:rPr>
          <w:sz w:val="20"/>
        </w:rPr>
        <w:t>8</w:t>
      </w:r>
      <w:r w:rsidRPr="00FE1A1A">
        <w:rPr>
          <w:sz w:val="20"/>
        </w:rPr>
        <w:t xml:space="preserve"> is:</w:t>
      </w:r>
    </w:p>
    <w:p w:rsidR="00413C37" w:rsidRPr="00FE1A1A" w:rsidRDefault="00413C37">
      <w:pPr>
        <w:pStyle w:val="BodyText"/>
        <w:ind w:left="2160" w:firstLine="720"/>
        <w:rPr>
          <w:sz w:val="20"/>
        </w:rPr>
      </w:pPr>
    </w:p>
    <w:p w:rsidR="009F7229" w:rsidRPr="00FE1A1A" w:rsidRDefault="009F7229">
      <w:pPr>
        <w:pStyle w:val="BodyText"/>
        <w:ind w:left="2160" w:firstLine="720"/>
        <w:rPr>
          <w:sz w:val="20"/>
        </w:rPr>
      </w:pPr>
      <w:r w:rsidRPr="00FE1A1A">
        <w:rPr>
          <w:sz w:val="20"/>
        </w:rPr>
        <w:t>$</w:t>
      </w:r>
      <w:r w:rsidR="009E790B">
        <w:rPr>
          <w:sz w:val="20"/>
        </w:rPr>
        <w:t>8</w:t>
      </w:r>
      <w:r w:rsidR="0036187C">
        <w:rPr>
          <w:sz w:val="20"/>
        </w:rPr>
        <w:t>7,809,181</w:t>
      </w:r>
      <w:r w:rsidRPr="00FE1A1A">
        <w:rPr>
          <w:sz w:val="20"/>
        </w:rPr>
        <w:t xml:space="preserve">  /  $</w:t>
      </w:r>
      <w:r w:rsidR="0036187C">
        <w:rPr>
          <w:sz w:val="20"/>
        </w:rPr>
        <w:t>6,144,</w:t>
      </w:r>
      <w:r w:rsidR="00F008C7">
        <w:rPr>
          <w:sz w:val="20"/>
        </w:rPr>
        <w:t>650</w:t>
      </w:r>
      <w:r w:rsidR="0036187C">
        <w:rPr>
          <w:sz w:val="20"/>
        </w:rPr>
        <w:t>,</w:t>
      </w:r>
      <w:r w:rsidR="00F008C7">
        <w:rPr>
          <w:sz w:val="20"/>
        </w:rPr>
        <w:t>600</w:t>
      </w:r>
      <w:r w:rsidR="00B756BE" w:rsidRPr="00FE1A1A">
        <w:rPr>
          <w:sz w:val="20"/>
        </w:rPr>
        <w:t xml:space="preserve">  = .0</w:t>
      </w:r>
      <w:r w:rsidR="006418C7" w:rsidRPr="00FE1A1A">
        <w:rPr>
          <w:sz w:val="20"/>
        </w:rPr>
        <w:t>1</w:t>
      </w:r>
      <w:r w:rsidR="004F1379">
        <w:rPr>
          <w:sz w:val="20"/>
        </w:rPr>
        <w:t>4</w:t>
      </w:r>
      <w:r w:rsidR="0036187C">
        <w:rPr>
          <w:sz w:val="20"/>
        </w:rPr>
        <w:t>29</w:t>
      </w:r>
    </w:p>
    <w:p w:rsidR="00FE1A1A" w:rsidRPr="006A175E" w:rsidRDefault="009F7229">
      <w:pPr>
        <w:pStyle w:val="BodyText"/>
        <w:ind w:left="720"/>
        <w:rPr>
          <w:sz w:val="16"/>
          <w:szCs w:val="16"/>
        </w:rPr>
      </w:pPr>
      <w:r w:rsidRPr="006A175E">
        <w:rPr>
          <w:sz w:val="16"/>
          <w:szCs w:val="16"/>
        </w:rPr>
        <w:tab/>
      </w:r>
      <w:r w:rsidRPr="006A175E">
        <w:rPr>
          <w:sz w:val="16"/>
          <w:szCs w:val="16"/>
        </w:rPr>
        <w:tab/>
      </w:r>
    </w:p>
    <w:p w:rsidR="009F7229" w:rsidRPr="00FE1A1A" w:rsidRDefault="009F7229">
      <w:pPr>
        <w:pStyle w:val="BodyText"/>
        <w:ind w:left="720"/>
        <w:rPr>
          <w:sz w:val="20"/>
        </w:rPr>
      </w:pPr>
      <w:r w:rsidRPr="00FE1A1A">
        <w:rPr>
          <w:sz w:val="20"/>
        </w:rPr>
        <w:tab/>
      </w:r>
      <w:r w:rsidRPr="00FE1A1A">
        <w:rPr>
          <w:sz w:val="20"/>
        </w:rPr>
        <w:tab/>
      </w:r>
      <w:r w:rsidR="006A175E">
        <w:rPr>
          <w:sz w:val="20"/>
        </w:rPr>
        <w:tab/>
      </w:r>
      <w:r w:rsidR="006A175E">
        <w:rPr>
          <w:sz w:val="20"/>
        </w:rPr>
        <w:tab/>
      </w:r>
      <w:r w:rsidRPr="00FE1A1A">
        <w:rPr>
          <w:sz w:val="20"/>
        </w:rPr>
        <w:tab/>
        <w:t>or</w:t>
      </w:r>
    </w:p>
    <w:p w:rsidR="00FE1A1A" w:rsidRPr="006A175E" w:rsidRDefault="00FE1A1A" w:rsidP="006418C7">
      <w:pPr>
        <w:pStyle w:val="BodyText"/>
        <w:ind w:left="720"/>
        <w:rPr>
          <w:sz w:val="16"/>
          <w:szCs w:val="16"/>
        </w:rPr>
      </w:pPr>
    </w:p>
    <w:p w:rsidR="009F7229" w:rsidRPr="00FE1A1A" w:rsidRDefault="009F7229" w:rsidP="006418C7">
      <w:pPr>
        <w:pStyle w:val="BodyText"/>
        <w:ind w:left="720"/>
        <w:rPr>
          <w:sz w:val="20"/>
        </w:rPr>
      </w:pPr>
      <w:r w:rsidRPr="00FE1A1A">
        <w:rPr>
          <w:sz w:val="20"/>
        </w:rPr>
        <w:tab/>
      </w:r>
      <w:r w:rsidRPr="00FE1A1A">
        <w:rPr>
          <w:sz w:val="20"/>
        </w:rPr>
        <w:tab/>
      </w:r>
      <w:r w:rsidRPr="00FE1A1A">
        <w:rPr>
          <w:sz w:val="20"/>
        </w:rPr>
        <w:tab/>
      </w:r>
      <w:r w:rsidR="00413C37" w:rsidRPr="00FE1A1A">
        <w:rPr>
          <w:sz w:val="20"/>
        </w:rPr>
        <w:t>$</w:t>
      </w:r>
      <w:r w:rsidRPr="00FE1A1A">
        <w:rPr>
          <w:sz w:val="20"/>
        </w:rPr>
        <w:t>1</w:t>
      </w:r>
      <w:r w:rsidR="004F1379">
        <w:rPr>
          <w:sz w:val="20"/>
        </w:rPr>
        <w:t>4.</w:t>
      </w:r>
      <w:r w:rsidR="0036187C">
        <w:rPr>
          <w:sz w:val="20"/>
        </w:rPr>
        <w:t>29</w:t>
      </w:r>
      <w:r w:rsidRPr="00FE1A1A">
        <w:rPr>
          <w:sz w:val="20"/>
        </w:rPr>
        <w:t xml:space="preserve"> per thousand dollars of assessed valuation</w:t>
      </w:r>
    </w:p>
    <w:p w:rsidR="009F7229" w:rsidRPr="00FE1A1A" w:rsidRDefault="009F7229">
      <w:pPr>
        <w:pStyle w:val="BodyText"/>
        <w:ind w:left="0"/>
        <w:rPr>
          <w:sz w:val="20"/>
        </w:rPr>
      </w:pPr>
    </w:p>
    <w:p w:rsidR="002A4725" w:rsidRPr="00C76C76" w:rsidRDefault="002A4725">
      <w:pPr>
        <w:pStyle w:val="BodyText"/>
        <w:ind w:left="0" w:firstLine="720"/>
        <w:rPr>
          <w:sz w:val="20"/>
        </w:rPr>
      </w:pPr>
      <w:r w:rsidRPr="00FE1A1A">
        <w:rPr>
          <w:sz w:val="20"/>
        </w:rPr>
        <w:t>A tax rate history</w:t>
      </w:r>
      <w:r w:rsidR="009F7229" w:rsidRPr="00FE1A1A">
        <w:rPr>
          <w:sz w:val="20"/>
        </w:rPr>
        <w:t xml:space="preserve"> of both the Town of </w:t>
      </w:r>
      <w:smartTag w:uri="urn:schemas-microsoft-com:office:smarttags" w:element="place">
        <w:smartTag w:uri="urn:schemas-microsoft-com:office:smarttags" w:element="City">
          <w:r w:rsidR="009F7229" w:rsidRPr="00FE1A1A">
            <w:rPr>
              <w:sz w:val="20"/>
            </w:rPr>
            <w:t>Concord</w:t>
          </w:r>
        </w:smartTag>
      </w:smartTag>
      <w:r w:rsidR="009F7229" w:rsidRPr="00FE1A1A">
        <w:rPr>
          <w:sz w:val="20"/>
        </w:rPr>
        <w:t xml:space="preserve"> and surrounding and/or comparable cities a</w:t>
      </w:r>
      <w:r w:rsidRPr="00FE1A1A">
        <w:rPr>
          <w:sz w:val="20"/>
        </w:rPr>
        <w:t>nd towns</w:t>
      </w:r>
      <w:r w:rsidR="00413C37" w:rsidRPr="00FE1A1A">
        <w:rPr>
          <w:sz w:val="20"/>
        </w:rPr>
        <w:t xml:space="preserve"> is shown in Addendum 3</w:t>
      </w:r>
      <w:r w:rsidR="00CB5B13" w:rsidRPr="00FE1A1A">
        <w:rPr>
          <w:sz w:val="20"/>
        </w:rPr>
        <w:t xml:space="preserve">.  </w:t>
      </w:r>
      <w:r w:rsidR="00A910BF">
        <w:rPr>
          <w:sz w:val="20"/>
        </w:rPr>
        <w:t>Of the 12 communities listed</w:t>
      </w:r>
      <w:r w:rsidR="0079785A">
        <w:rPr>
          <w:sz w:val="20"/>
        </w:rPr>
        <w:t>,</w:t>
      </w:r>
      <w:r w:rsidR="00A910BF">
        <w:rPr>
          <w:sz w:val="20"/>
        </w:rPr>
        <w:t xml:space="preserve"> 7 have split rates and 5 have a uniform rate.  Despite the residential class advantage in a </w:t>
      </w:r>
      <w:r w:rsidR="00A910BF" w:rsidRPr="00C76C76">
        <w:rPr>
          <w:sz w:val="20"/>
        </w:rPr>
        <w:t>split rate town</w:t>
      </w:r>
      <w:r w:rsidR="009F7229" w:rsidRPr="00C76C76">
        <w:rPr>
          <w:sz w:val="20"/>
        </w:rPr>
        <w:t xml:space="preserve">, the Town of Concord has repeatedly had </w:t>
      </w:r>
      <w:r w:rsidR="00C76C76" w:rsidRPr="00C76C76">
        <w:rPr>
          <w:sz w:val="20"/>
        </w:rPr>
        <w:t xml:space="preserve">the lowest or </w:t>
      </w:r>
      <w:r w:rsidR="009F7229" w:rsidRPr="00C76C76">
        <w:rPr>
          <w:sz w:val="20"/>
        </w:rPr>
        <w:t>one of the lowest tax rates</w:t>
      </w:r>
      <w:r w:rsidR="007C1055" w:rsidRPr="00C76C76">
        <w:rPr>
          <w:sz w:val="20"/>
        </w:rPr>
        <w:t xml:space="preserve"> for both the Residential and the CIP classes.</w:t>
      </w:r>
      <w:r w:rsidR="00CB5B13" w:rsidRPr="00C76C76">
        <w:rPr>
          <w:sz w:val="20"/>
        </w:rPr>
        <w:t xml:space="preserve">  </w:t>
      </w:r>
      <w:r w:rsidR="00290B83" w:rsidRPr="00C76C76">
        <w:rPr>
          <w:sz w:val="20"/>
        </w:rPr>
        <w:t>For FY</w:t>
      </w:r>
      <w:r w:rsidR="007A59AD" w:rsidRPr="00C76C76">
        <w:rPr>
          <w:sz w:val="20"/>
        </w:rPr>
        <w:t>201</w:t>
      </w:r>
      <w:r w:rsidR="0036187C">
        <w:rPr>
          <w:sz w:val="20"/>
        </w:rPr>
        <w:t>8</w:t>
      </w:r>
      <w:r w:rsidR="00014284" w:rsidRPr="00C76C76">
        <w:rPr>
          <w:sz w:val="20"/>
        </w:rPr>
        <w:t xml:space="preserve"> the town ranked </w:t>
      </w:r>
      <w:r w:rsidR="00C76C76" w:rsidRPr="00C76C76">
        <w:rPr>
          <w:sz w:val="20"/>
        </w:rPr>
        <w:t xml:space="preserve">the </w:t>
      </w:r>
      <w:r w:rsidR="004F1379">
        <w:rPr>
          <w:sz w:val="20"/>
        </w:rPr>
        <w:t xml:space="preserve">second </w:t>
      </w:r>
      <w:r w:rsidR="00014284" w:rsidRPr="00C76C76">
        <w:rPr>
          <w:sz w:val="20"/>
        </w:rPr>
        <w:t xml:space="preserve">lowest </w:t>
      </w:r>
      <w:r w:rsidR="007C1055" w:rsidRPr="00C76C76">
        <w:rPr>
          <w:sz w:val="20"/>
        </w:rPr>
        <w:t xml:space="preserve">in the residential class </w:t>
      </w:r>
      <w:r w:rsidR="00C76C76" w:rsidRPr="00C76C76">
        <w:rPr>
          <w:sz w:val="20"/>
        </w:rPr>
        <w:t>and the lo</w:t>
      </w:r>
      <w:r w:rsidR="007C1055" w:rsidRPr="00C76C76">
        <w:rPr>
          <w:sz w:val="20"/>
        </w:rPr>
        <w:t xml:space="preserve">west CIP rate </w:t>
      </w:r>
      <w:r w:rsidR="0079785A" w:rsidRPr="00C76C76">
        <w:rPr>
          <w:sz w:val="20"/>
        </w:rPr>
        <w:t>in this group</w:t>
      </w:r>
      <w:r w:rsidR="007C1055" w:rsidRPr="00C76C76">
        <w:rPr>
          <w:sz w:val="20"/>
        </w:rPr>
        <w:t>.</w:t>
      </w:r>
    </w:p>
    <w:p w:rsidR="009F7229" w:rsidRPr="00C76C76" w:rsidRDefault="002A4725">
      <w:pPr>
        <w:pStyle w:val="BodyText"/>
        <w:ind w:left="0" w:firstLine="720"/>
        <w:rPr>
          <w:sz w:val="20"/>
        </w:rPr>
      </w:pPr>
      <w:r w:rsidRPr="00C76C76">
        <w:rPr>
          <w:sz w:val="20"/>
        </w:rPr>
        <w:t xml:space="preserve"> </w:t>
      </w:r>
    </w:p>
    <w:p w:rsidR="009F7229" w:rsidRPr="00FE1A1A" w:rsidRDefault="0079785A">
      <w:pPr>
        <w:pStyle w:val="BodyText"/>
        <w:ind w:left="0" w:firstLine="720"/>
        <w:rPr>
          <w:sz w:val="20"/>
        </w:rPr>
      </w:pPr>
      <w:r>
        <w:rPr>
          <w:sz w:val="20"/>
        </w:rPr>
        <w:t>T</w:t>
      </w:r>
      <w:r w:rsidR="009F7229" w:rsidRPr="00FE1A1A">
        <w:rPr>
          <w:sz w:val="20"/>
        </w:rPr>
        <w:t>he</w:t>
      </w:r>
      <w:r w:rsidR="0074401B">
        <w:rPr>
          <w:sz w:val="20"/>
        </w:rPr>
        <w:t xml:space="preserve"> </w:t>
      </w:r>
      <w:r w:rsidR="009F7229" w:rsidRPr="00FE1A1A">
        <w:rPr>
          <w:sz w:val="20"/>
        </w:rPr>
        <w:t>Select</w:t>
      </w:r>
      <w:r w:rsidR="000A1F07">
        <w:rPr>
          <w:sz w:val="20"/>
        </w:rPr>
        <w:t xml:space="preserve"> B</w:t>
      </w:r>
      <w:r w:rsidR="0074401B">
        <w:rPr>
          <w:sz w:val="20"/>
        </w:rPr>
        <w:t>oard</w:t>
      </w:r>
      <w:r w:rsidR="009F7229" w:rsidRPr="00FE1A1A">
        <w:rPr>
          <w:sz w:val="20"/>
        </w:rPr>
        <w:t xml:space="preserve"> has chosen </w:t>
      </w:r>
      <w:r>
        <w:rPr>
          <w:sz w:val="20"/>
        </w:rPr>
        <w:t xml:space="preserve">to adopt a </w:t>
      </w:r>
      <w:r w:rsidR="009F7229" w:rsidRPr="00FE1A1A">
        <w:rPr>
          <w:i/>
          <w:sz w:val="20"/>
        </w:rPr>
        <w:t>Uniform Tax Rate</w:t>
      </w:r>
      <w:r w:rsidR="009F7229" w:rsidRPr="00FE1A1A">
        <w:rPr>
          <w:sz w:val="20"/>
        </w:rPr>
        <w:t xml:space="preserve"> for the last </w:t>
      </w:r>
      <w:r w:rsidR="0036187C">
        <w:rPr>
          <w:sz w:val="20"/>
        </w:rPr>
        <w:t>20</w:t>
      </w:r>
      <w:r w:rsidR="009F7229" w:rsidRPr="00FE1A1A">
        <w:rPr>
          <w:sz w:val="20"/>
        </w:rPr>
        <w:t xml:space="preserve"> years</w:t>
      </w:r>
      <w:r>
        <w:rPr>
          <w:sz w:val="20"/>
        </w:rPr>
        <w:t>. The Select</w:t>
      </w:r>
      <w:r w:rsidR="000A1F07">
        <w:rPr>
          <w:sz w:val="20"/>
        </w:rPr>
        <w:t xml:space="preserve"> B</w:t>
      </w:r>
      <w:r w:rsidR="0074401B">
        <w:rPr>
          <w:sz w:val="20"/>
        </w:rPr>
        <w:t>oard</w:t>
      </w:r>
      <w:r>
        <w:rPr>
          <w:sz w:val="20"/>
        </w:rPr>
        <w:t xml:space="preserve"> </w:t>
      </w:r>
      <w:r w:rsidR="000B2038" w:rsidRPr="00FE1A1A">
        <w:rPr>
          <w:sz w:val="20"/>
        </w:rPr>
        <w:t xml:space="preserve">must vote </w:t>
      </w:r>
      <w:r w:rsidR="009F7229" w:rsidRPr="00FE1A1A">
        <w:rPr>
          <w:sz w:val="20"/>
        </w:rPr>
        <w:t xml:space="preserve">the percentages of the tax levy to be paid by each class of real property and by personal property </w:t>
      </w:r>
      <w:r w:rsidR="000B2038" w:rsidRPr="00FE1A1A">
        <w:rPr>
          <w:sz w:val="20"/>
        </w:rPr>
        <w:t xml:space="preserve">each year </w:t>
      </w:r>
      <w:r w:rsidR="009F7229" w:rsidRPr="00FE1A1A">
        <w:rPr>
          <w:sz w:val="20"/>
        </w:rPr>
        <w:t>(M.G.L</w:t>
      </w:r>
      <w:r w:rsidR="00CB5B13" w:rsidRPr="00FE1A1A">
        <w:rPr>
          <w:sz w:val="20"/>
        </w:rPr>
        <w:t xml:space="preserve">. </w:t>
      </w:r>
      <w:r w:rsidR="009F7229" w:rsidRPr="00FE1A1A">
        <w:rPr>
          <w:sz w:val="20"/>
        </w:rPr>
        <w:t>Chapter 40 section 56)</w:t>
      </w:r>
      <w:r w:rsidR="00CB5B13" w:rsidRPr="00FE1A1A">
        <w:rPr>
          <w:sz w:val="20"/>
        </w:rPr>
        <w:t xml:space="preserve">.  </w:t>
      </w:r>
      <w:r w:rsidR="009F7229" w:rsidRPr="00FE1A1A">
        <w:rPr>
          <w:sz w:val="20"/>
        </w:rPr>
        <w:t xml:space="preserve">In determining the percentages, the </w:t>
      </w:r>
      <w:r w:rsidR="000A1F07">
        <w:rPr>
          <w:sz w:val="20"/>
        </w:rPr>
        <w:t>Select Board</w:t>
      </w:r>
      <w:r w:rsidR="009F7229" w:rsidRPr="00FE1A1A">
        <w:rPr>
          <w:sz w:val="20"/>
        </w:rPr>
        <w:t xml:space="preserve"> </w:t>
      </w:r>
      <w:r w:rsidR="0036187C">
        <w:rPr>
          <w:sz w:val="20"/>
        </w:rPr>
        <w:t>is</w:t>
      </w:r>
      <w:r w:rsidR="007C1055">
        <w:rPr>
          <w:sz w:val="20"/>
        </w:rPr>
        <w:t xml:space="preserve"> actually </w:t>
      </w:r>
      <w:r w:rsidR="009F7229" w:rsidRPr="00FE1A1A">
        <w:rPr>
          <w:sz w:val="20"/>
        </w:rPr>
        <w:t>adopt</w:t>
      </w:r>
      <w:r w:rsidR="007C1055">
        <w:rPr>
          <w:sz w:val="20"/>
        </w:rPr>
        <w:t>ing</w:t>
      </w:r>
      <w:r w:rsidR="009F7229" w:rsidRPr="00FE1A1A">
        <w:rPr>
          <w:sz w:val="20"/>
        </w:rPr>
        <w:t xml:space="preserve"> a residential factor</w:t>
      </w:r>
      <w:r w:rsidR="00CB5B13" w:rsidRPr="00FE1A1A">
        <w:rPr>
          <w:sz w:val="20"/>
        </w:rPr>
        <w:t xml:space="preserve">.  </w:t>
      </w:r>
    </w:p>
    <w:p w:rsidR="009C6D1C" w:rsidRPr="00FE1A1A" w:rsidRDefault="009C6D1C">
      <w:pPr>
        <w:pStyle w:val="BodyText"/>
        <w:rPr>
          <w:b/>
          <w:sz w:val="20"/>
        </w:rPr>
      </w:pPr>
    </w:p>
    <w:p w:rsidR="009F7229" w:rsidRPr="00FE1A1A" w:rsidRDefault="009F7229">
      <w:pPr>
        <w:pStyle w:val="BodyText"/>
        <w:numPr>
          <w:ilvl w:val="0"/>
          <w:numId w:val="9"/>
        </w:numPr>
        <w:rPr>
          <w:b/>
          <w:sz w:val="20"/>
        </w:rPr>
      </w:pPr>
      <w:r w:rsidRPr="00FE1A1A">
        <w:rPr>
          <w:b/>
          <w:sz w:val="20"/>
        </w:rPr>
        <w:t>Residential Factor</w:t>
      </w:r>
    </w:p>
    <w:p w:rsidR="009F7229" w:rsidRPr="00FE1A1A" w:rsidRDefault="009F7229">
      <w:pPr>
        <w:pStyle w:val="BodyText"/>
        <w:ind w:left="720"/>
        <w:rPr>
          <w:sz w:val="20"/>
        </w:rPr>
      </w:pPr>
    </w:p>
    <w:p w:rsidR="009F7229" w:rsidRPr="00FE1A1A" w:rsidRDefault="009F7229">
      <w:pPr>
        <w:pStyle w:val="BodyText"/>
        <w:ind w:left="720" w:firstLine="720"/>
        <w:rPr>
          <w:sz w:val="20"/>
        </w:rPr>
      </w:pPr>
      <w:r w:rsidRPr="00FE1A1A">
        <w:rPr>
          <w:sz w:val="20"/>
        </w:rPr>
        <w:t>The residential factor adopted by a community governs the percentage of the tax levy that is to be paid by the residential property owners</w:t>
      </w:r>
      <w:r w:rsidR="00CB5B13" w:rsidRPr="00FE1A1A">
        <w:rPr>
          <w:sz w:val="20"/>
        </w:rPr>
        <w:t xml:space="preserve">.  </w:t>
      </w:r>
      <w:r w:rsidR="000B2038" w:rsidRPr="00FE1A1A">
        <w:rPr>
          <w:sz w:val="20"/>
        </w:rPr>
        <w:t>A residential factor of “1”</w:t>
      </w:r>
      <w:r w:rsidRPr="00FE1A1A">
        <w:rPr>
          <w:sz w:val="20"/>
        </w:rPr>
        <w:t xml:space="preserve"> will result in the taxation of all property at the same rate, the </w:t>
      </w:r>
      <w:r w:rsidRPr="00FE1A1A">
        <w:rPr>
          <w:i/>
          <w:sz w:val="20"/>
        </w:rPr>
        <w:t>Uniform Tax Rate</w:t>
      </w:r>
      <w:r w:rsidR="00CB5B13" w:rsidRPr="00FE1A1A">
        <w:rPr>
          <w:sz w:val="20"/>
        </w:rPr>
        <w:t xml:space="preserve">.  </w:t>
      </w:r>
      <w:r w:rsidRPr="00FE1A1A">
        <w:rPr>
          <w:sz w:val="20"/>
        </w:rPr>
        <w:t>The Uniform Tax Rat</w:t>
      </w:r>
      <w:r w:rsidR="000B2038" w:rsidRPr="00FE1A1A">
        <w:rPr>
          <w:sz w:val="20"/>
        </w:rPr>
        <w:t>e with a residential factor of “1”</w:t>
      </w:r>
      <w:r w:rsidRPr="00FE1A1A">
        <w:rPr>
          <w:sz w:val="20"/>
        </w:rPr>
        <w:t xml:space="preserve"> is calculated to be </w:t>
      </w:r>
      <w:r w:rsidR="00CF3B00" w:rsidRPr="00FE1A1A">
        <w:rPr>
          <w:sz w:val="20"/>
        </w:rPr>
        <w:t>$</w:t>
      </w:r>
      <w:r w:rsidR="00177154" w:rsidRPr="00FE1A1A">
        <w:rPr>
          <w:sz w:val="20"/>
        </w:rPr>
        <w:t>1</w:t>
      </w:r>
      <w:r w:rsidR="004F1379">
        <w:rPr>
          <w:sz w:val="20"/>
        </w:rPr>
        <w:t>4.</w:t>
      </w:r>
      <w:r w:rsidR="0009616E">
        <w:rPr>
          <w:sz w:val="20"/>
        </w:rPr>
        <w:t>29</w:t>
      </w:r>
      <w:r w:rsidR="00CB5B13" w:rsidRPr="00FE1A1A">
        <w:rPr>
          <w:sz w:val="20"/>
        </w:rPr>
        <w:t xml:space="preserve">.  </w:t>
      </w:r>
      <w:r w:rsidRPr="00FE1A1A">
        <w:rPr>
          <w:sz w:val="20"/>
        </w:rPr>
        <w:t xml:space="preserve">However, the law allows the Commercial/Industrial/Personal Property, </w:t>
      </w:r>
      <w:r w:rsidR="00BD252E" w:rsidRPr="00FE1A1A">
        <w:rPr>
          <w:sz w:val="20"/>
        </w:rPr>
        <w:t xml:space="preserve">C/I/P, </w:t>
      </w:r>
      <w:r w:rsidRPr="00FE1A1A">
        <w:rPr>
          <w:sz w:val="20"/>
        </w:rPr>
        <w:t xml:space="preserve">tax rate for the Town of </w:t>
      </w:r>
      <w:smartTag w:uri="urn:schemas-microsoft-com:office:smarttags" w:element="place">
        <w:smartTag w:uri="urn:schemas-microsoft-com:office:smarttags" w:element="City">
          <w:r w:rsidRPr="00FE1A1A">
            <w:rPr>
              <w:sz w:val="20"/>
            </w:rPr>
            <w:t>Concord</w:t>
          </w:r>
        </w:smartTag>
      </w:smartTag>
      <w:r w:rsidRPr="00FE1A1A">
        <w:rPr>
          <w:sz w:val="20"/>
        </w:rPr>
        <w:t xml:space="preserve"> to be as high as 50% above the uniform rate; and</w:t>
      </w:r>
      <w:r w:rsidR="00BD252E" w:rsidRPr="00FE1A1A">
        <w:rPr>
          <w:sz w:val="20"/>
        </w:rPr>
        <w:t xml:space="preserve"> the Res</w:t>
      </w:r>
      <w:r w:rsidRPr="00FE1A1A">
        <w:rPr>
          <w:sz w:val="20"/>
        </w:rPr>
        <w:t xml:space="preserve">idential/Open Space, </w:t>
      </w:r>
      <w:r w:rsidR="00BD252E" w:rsidRPr="00FE1A1A">
        <w:rPr>
          <w:sz w:val="20"/>
        </w:rPr>
        <w:t xml:space="preserve">R/O, </w:t>
      </w:r>
      <w:r w:rsidRPr="00FE1A1A">
        <w:rPr>
          <w:sz w:val="20"/>
        </w:rPr>
        <w:t>to be as low as 65% of the uniform rate</w:t>
      </w:r>
      <w:r w:rsidR="00CB5B13" w:rsidRPr="00FE1A1A">
        <w:rPr>
          <w:sz w:val="20"/>
        </w:rPr>
        <w:t xml:space="preserve">.  </w:t>
      </w:r>
      <w:r w:rsidRPr="00FE1A1A">
        <w:rPr>
          <w:sz w:val="20"/>
        </w:rPr>
        <w:t>A low</w:t>
      </w:r>
      <w:r w:rsidR="002C17C6" w:rsidRPr="00FE1A1A">
        <w:rPr>
          <w:sz w:val="20"/>
        </w:rPr>
        <w:t>er</w:t>
      </w:r>
      <w:r w:rsidRPr="00FE1A1A">
        <w:rPr>
          <w:sz w:val="20"/>
        </w:rPr>
        <w:t xml:space="preserve"> residential factor </w:t>
      </w:r>
      <w:r w:rsidR="00785D4B">
        <w:rPr>
          <w:sz w:val="20"/>
        </w:rPr>
        <w:t xml:space="preserve">would result in </w:t>
      </w:r>
      <w:r w:rsidRPr="00FE1A1A">
        <w:rPr>
          <w:sz w:val="20"/>
        </w:rPr>
        <w:t xml:space="preserve">the residential </w:t>
      </w:r>
      <w:r w:rsidR="00785D4B">
        <w:rPr>
          <w:sz w:val="20"/>
        </w:rPr>
        <w:t xml:space="preserve">class bearing </w:t>
      </w:r>
      <w:r w:rsidRPr="00FE1A1A">
        <w:rPr>
          <w:sz w:val="20"/>
        </w:rPr>
        <w:t>a lower share of the total levy</w:t>
      </w:r>
      <w:r w:rsidR="00785D4B">
        <w:rPr>
          <w:sz w:val="20"/>
        </w:rPr>
        <w:t xml:space="preserve"> than its share of taxable assessed value.</w:t>
      </w:r>
    </w:p>
    <w:p w:rsidR="009F7229" w:rsidRPr="00FE1A1A" w:rsidRDefault="009F7229">
      <w:pPr>
        <w:pStyle w:val="BodyText"/>
        <w:ind w:left="720" w:firstLine="720"/>
        <w:rPr>
          <w:sz w:val="20"/>
        </w:rPr>
      </w:pPr>
    </w:p>
    <w:p w:rsidR="00CF3B00" w:rsidRPr="00FE1A1A" w:rsidRDefault="00CF3B00">
      <w:pPr>
        <w:pStyle w:val="BodyText"/>
        <w:ind w:left="720" w:firstLine="720"/>
        <w:rPr>
          <w:b/>
          <w:sz w:val="20"/>
          <w:u w:val="single"/>
        </w:rPr>
      </w:pPr>
      <w:r w:rsidRPr="00FE1A1A">
        <w:rPr>
          <w:b/>
          <w:sz w:val="20"/>
          <w:u w:val="single"/>
        </w:rPr>
        <w:t xml:space="preserve">History of differential tax rates in </w:t>
      </w:r>
      <w:smartTag w:uri="urn:schemas-microsoft-com:office:smarttags" w:element="place">
        <w:smartTag w:uri="urn:schemas-microsoft-com:office:smarttags" w:element="City">
          <w:r w:rsidRPr="00FE1A1A">
            <w:rPr>
              <w:b/>
              <w:sz w:val="20"/>
              <w:u w:val="single"/>
            </w:rPr>
            <w:t>Concord</w:t>
          </w:r>
        </w:smartTag>
      </w:smartTag>
    </w:p>
    <w:p w:rsidR="00CF3B00" w:rsidRPr="00FE1A1A" w:rsidRDefault="00CF3B00">
      <w:pPr>
        <w:pStyle w:val="BodyText"/>
        <w:ind w:left="720" w:firstLine="720"/>
        <w:rPr>
          <w:sz w:val="20"/>
        </w:rPr>
      </w:pPr>
    </w:p>
    <w:p w:rsidR="009F7229" w:rsidRPr="00FE1A1A" w:rsidRDefault="009F7229">
      <w:pPr>
        <w:pStyle w:val="BodyText"/>
        <w:ind w:left="720" w:firstLine="720"/>
        <w:rPr>
          <w:sz w:val="20"/>
        </w:rPr>
      </w:pPr>
      <w:r w:rsidRPr="00FE1A1A">
        <w:rPr>
          <w:sz w:val="20"/>
        </w:rPr>
        <w:t>In 1982, the town had a uniform rate and the percentage shares were 18% for the C/I/P, and 82% for the R/O</w:t>
      </w:r>
      <w:r w:rsidR="00CB5B13" w:rsidRPr="00FE1A1A">
        <w:rPr>
          <w:sz w:val="20"/>
        </w:rPr>
        <w:t xml:space="preserve">.  </w:t>
      </w:r>
      <w:r w:rsidRPr="00FE1A1A">
        <w:rPr>
          <w:sz w:val="20"/>
        </w:rPr>
        <w:t>In 1983, the C/I/P class began to decrease in value relative to the R/O class</w:t>
      </w:r>
      <w:r w:rsidR="00CB5B13" w:rsidRPr="00FE1A1A">
        <w:rPr>
          <w:sz w:val="20"/>
        </w:rPr>
        <w:t xml:space="preserve">.  </w:t>
      </w:r>
      <w:r w:rsidRPr="00FE1A1A">
        <w:rPr>
          <w:sz w:val="20"/>
        </w:rPr>
        <w:t>The Select</w:t>
      </w:r>
      <w:r w:rsidR="000A1F07">
        <w:rPr>
          <w:sz w:val="20"/>
        </w:rPr>
        <w:t xml:space="preserve"> B</w:t>
      </w:r>
      <w:r w:rsidR="0074401B">
        <w:rPr>
          <w:sz w:val="20"/>
        </w:rPr>
        <w:t>oard</w:t>
      </w:r>
      <w:r w:rsidRPr="00FE1A1A">
        <w:rPr>
          <w:sz w:val="20"/>
        </w:rPr>
        <w:t>, at that time, decided to shift the tax burden to the C/I/P class in the interest of maintaining a stable percent balance between the R/O and C/I/P classes</w:t>
      </w:r>
      <w:r w:rsidR="00CB5B13" w:rsidRPr="00FE1A1A">
        <w:rPr>
          <w:sz w:val="20"/>
        </w:rPr>
        <w:t xml:space="preserve">.  </w:t>
      </w:r>
      <w:r w:rsidRPr="00FE1A1A">
        <w:rPr>
          <w:sz w:val="20"/>
        </w:rPr>
        <w:t>The 1983 vote shifted the levy 9/10ths of a percent to the C/I/P class</w:t>
      </w:r>
      <w:r w:rsidR="00CB5B13" w:rsidRPr="00FE1A1A">
        <w:rPr>
          <w:sz w:val="20"/>
        </w:rPr>
        <w:t xml:space="preserve">.  </w:t>
      </w:r>
      <w:r w:rsidRPr="00FE1A1A">
        <w:rPr>
          <w:sz w:val="20"/>
        </w:rPr>
        <w:t>The Select</w:t>
      </w:r>
      <w:r w:rsidR="000A1F07">
        <w:rPr>
          <w:sz w:val="20"/>
        </w:rPr>
        <w:t xml:space="preserve"> B</w:t>
      </w:r>
      <w:r w:rsidR="0074401B">
        <w:rPr>
          <w:sz w:val="20"/>
        </w:rPr>
        <w:t>oard</w:t>
      </w:r>
      <w:r w:rsidRPr="00FE1A1A">
        <w:rPr>
          <w:sz w:val="20"/>
        </w:rPr>
        <w:t xml:space="preserve"> continued to shift the taxes until 1996, with th</w:t>
      </w:r>
      <w:r w:rsidR="00C94A7A" w:rsidRPr="00FE1A1A">
        <w:rPr>
          <w:sz w:val="20"/>
        </w:rPr>
        <w:t>e maximum shift of 22%</w:t>
      </w:r>
      <w:r w:rsidR="00785D4B">
        <w:rPr>
          <w:sz w:val="20"/>
        </w:rPr>
        <w:t xml:space="preserve"> occurring</w:t>
      </w:r>
      <w:r w:rsidR="00C94A7A" w:rsidRPr="00FE1A1A">
        <w:rPr>
          <w:sz w:val="20"/>
        </w:rPr>
        <w:t xml:space="preserve"> in F</w:t>
      </w:r>
      <w:r w:rsidRPr="00FE1A1A">
        <w:rPr>
          <w:sz w:val="20"/>
        </w:rPr>
        <w:t>Y 1991.</w:t>
      </w:r>
    </w:p>
    <w:p w:rsidR="009F7229" w:rsidRPr="00FE1A1A" w:rsidRDefault="009F7229">
      <w:pPr>
        <w:pStyle w:val="BodyText"/>
        <w:ind w:left="720" w:firstLine="720"/>
        <w:rPr>
          <w:sz w:val="20"/>
        </w:rPr>
      </w:pPr>
      <w:r w:rsidRPr="00FE1A1A">
        <w:rPr>
          <w:sz w:val="20"/>
        </w:rPr>
        <w:t xml:space="preserve"> </w:t>
      </w:r>
    </w:p>
    <w:p w:rsidR="009F7229" w:rsidRPr="00FE1A1A" w:rsidRDefault="009F7229">
      <w:pPr>
        <w:pStyle w:val="BodyText"/>
        <w:ind w:left="720" w:firstLine="720"/>
        <w:rPr>
          <w:sz w:val="20"/>
        </w:rPr>
      </w:pPr>
      <w:r w:rsidRPr="00FE1A1A">
        <w:rPr>
          <w:sz w:val="20"/>
        </w:rPr>
        <w:t xml:space="preserve">However, </w:t>
      </w:r>
      <w:r w:rsidR="00CF3B00" w:rsidRPr="00FE1A1A">
        <w:rPr>
          <w:sz w:val="20"/>
        </w:rPr>
        <w:t>through the mid-</w:t>
      </w:r>
      <w:r w:rsidRPr="00FE1A1A">
        <w:rPr>
          <w:sz w:val="20"/>
        </w:rPr>
        <w:t>1990’s, the total value of the town became increasingly residential</w:t>
      </w:r>
      <w:r w:rsidR="00CB5B13" w:rsidRPr="00FE1A1A">
        <w:rPr>
          <w:sz w:val="20"/>
        </w:rPr>
        <w:t xml:space="preserve">.  </w:t>
      </w:r>
      <w:r w:rsidRPr="00FE1A1A">
        <w:rPr>
          <w:sz w:val="20"/>
        </w:rPr>
        <w:t xml:space="preserve">With this residential growth, </w:t>
      </w:r>
      <w:r w:rsidR="00CF3B00" w:rsidRPr="00FE1A1A">
        <w:rPr>
          <w:sz w:val="20"/>
        </w:rPr>
        <w:t>it was perceived that an increasingly severe shift of the tax levy share to CIP would be required in order to produce only a relatively small benefit to the residential class</w:t>
      </w:r>
      <w:r w:rsidR="00CB5B13" w:rsidRPr="00FE1A1A">
        <w:rPr>
          <w:sz w:val="20"/>
        </w:rPr>
        <w:t xml:space="preserve">.  </w:t>
      </w:r>
      <w:r w:rsidR="002A4725" w:rsidRPr="00FE1A1A">
        <w:rPr>
          <w:sz w:val="20"/>
        </w:rPr>
        <w:t>Therefore, t</w:t>
      </w:r>
      <w:r w:rsidRPr="00FE1A1A">
        <w:rPr>
          <w:sz w:val="20"/>
        </w:rPr>
        <w:t xml:space="preserve">he </w:t>
      </w:r>
      <w:r w:rsidR="000A1F07">
        <w:rPr>
          <w:sz w:val="20"/>
        </w:rPr>
        <w:t>Select Board</w:t>
      </w:r>
      <w:r w:rsidRPr="00FE1A1A">
        <w:rPr>
          <w:sz w:val="20"/>
        </w:rPr>
        <w:t xml:space="preserve"> </w:t>
      </w:r>
      <w:r w:rsidR="00CF3B00" w:rsidRPr="00FE1A1A">
        <w:rPr>
          <w:sz w:val="20"/>
        </w:rPr>
        <w:t>decided to gradually red</w:t>
      </w:r>
      <w:r w:rsidR="00AC6E24">
        <w:rPr>
          <w:sz w:val="20"/>
        </w:rPr>
        <w:t>uce the tax shift, and in FY1997</w:t>
      </w:r>
      <w:r w:rsidR="00CF3B00" w:rsidRPr="00FE1A1A">
        <w:rPr>
          <w:sz w:val="20"/>
        </w:rPr>
        <w:t xml:space="preserve"> </w:t>
      </w:r>
      <w:r w:rsidRPr="00FE1A1A">
        <w:rPr>
          <w:sz w:val="20"/>
        </w:rPr>
        <w:t>eliminated this tax shift</w:t>
      </w:r>
      <w:r w:rsidR="00CF3B00" w:rsidRPr="00FE1A1A">
        <w:rPr>
          <w:sz w:val="20"/>
        </w:rPr>
        <w:t xml:space="preserve"> entirely</w:t>
      </w:r>
      <w:r w:rsidR="00CB5B13" w:rsidRPr="00FE1A1A">
        <w:rPr>
          <w:sz w:val="20"/>
        </w:rPr>
        <w:t xml:space="preserve">.  </w:t>
      </w:r>
      <w:r w:rsidR="00CF3B00" w:rsidRPr="00FE1A1A">
        <w:rPr>
          <w:sz w:val="20"/>
        </w:rPr>
        <w:t>In each of the ensuing years, the Board of Assessors has recommended and the Select</w:t>
      </w:r>
      <w:r w:rsidR="004F1379">
        <w:rPr>
          <w:sz w:val="20"/>
        </w:rPr>
        <w:t xml:space="preserve"> </w:t>
      </w:r>
      <w:r w:rsidR="0074401B">
        <w:rPr>
          <w:sz w:val="20"/>
        </w:rPr>
        <w:t>board</w:t>
      </w:r>
      <w:r w:rsidR="00CF3B00" w:rsidRPr="00FE1A1A">
        <w:rPr>
          <w:sz w:val="20"/>
        </w:rPr>
        <w:t xml:space="preserve"> </w:t>
      </w:r>
      <w:r w:rsidR="0009616E">
        <w:rPr>
          <w:sz w:val="20"/>
        </w:rPr>
        <w:t xml:space="preserve"> </w:t>
      </w:r>
      <w:r w:rsidR="00CF3B00" w:rsidRPr="00FE1A1A">
        <w:rPr>
          <w:sz w:val="20"/>
        </w:rPr>
        <w:t>ha</w:t>
      </w:r>
      <w:r w:rsidR="0009616E">
        <w:rPr>
          <w:sz w:val="20"/>
        </w:rPr>
        <w:t>s</w:t>
      </w:r>
      <w:r w:rsidR="00CF3B00" w:rsidRPr="00FE1A1A">
        <w:rPr>
          <w:sz w:val="20"/>
        </w:rPr>
        <w:t xml:space="preserve"> voted to adopt a uniform tax rate for </w:t>
      </w:r>
      <w:r w:rsidR="002C17C6" w:rsidRPr="00FE1A1A">
        <w:rPr>
          <w:sz w:val="20"/>
        </w:rPr>
        <w:t xml:space="preserve">the residential and CIP </w:t>
      </w:r>
      <w:r w:rsidR="00CF3B00" w:rsidRPr="00FE1A1A">
        <w:rPr>
          <w:sz w:val="20"/>
        </w:rPr>
        <w:t>classes</w:t>
      </w:r>
      <w:r w:rsidR="002C17C6" w:rsidRPr="00FE1A1A">
        <w:rPr>
          <w:sz w:val="20"/>
        </w:rPr>
        <w:t>.</w:t>
      </w:r>
    </w:p>
    <w:p w:rsidR="009F7229" w:rsidRPr="00FE1A1A" w:rsidRDefault="009F7229">
      <w:pPr>
        <w:pStyle w:val="BodyText"/>
        <w:ind w:left="720" w:firstLine="720"/>
        <w:rPr>
          <w:sz w:val="20"/>
        </w:rPr>
      </w:pPr>
    </w:p>
    <w:p w:rsidR="00CF3B00" w:rsidRPr="00FE1A1A" w:rsidRDefault="00322C25">
      <w:pPr>
        <w:pStyle w:val="BodyText"/>
        <w:ind w:left="720" w:firstLine="720"/>
        <w:rPr>
          <w:b/>
          <w:sz w:val="20"/>
          <w:u w:val="single"/>
        </w:rPr>
      </w:pPr>
      <w:r w:rsidRPr="00FE1A1A">
        <w:rPr>
          <w:b/>
          <w:sz w:val="20"/>
          <w:u w:val="single"/>
        </w:rPr>
        <w:t xml:space="preserve">Allowable tax shift for </w:t>
      </w:r>
      <w:r w:rsidR="00410148" w:rsidRPr="00FE1A1A">
        <w:rPr>
          <w:b/>
          <w:sz w:val="20"/>
          <w:u w:val="single"/>
        </w:rPr>
        <w:t>FY1</w:t>
      </w:r>
      <w:r w:rsidR="0009616E">
        <w:rPr>
          <w:b/>
          <w:sz w:val="20"/>
          <w:u w:val="single"/>
        </w:rPr>
        <w:t>8</w:t>
      </w:r>
    </w:p>
    <w:p w:rsidR="00CF3B00" w:rsidRPr="00FE1A1A" w:rsidRDefault="00CF3B00">
      <w:pPr>
        <w:pStyle w:val="BodyText"/>
        <w:ind w:left="720" w:firstLine="720"/>
        <w:rPr>
          <w:b/>
          <w:sz w:val="20"/>
          <w:u w:val="single"/>
        </w:rPr>
      </w:pPr>
    </w:p>
    <w:p w:rsidR="009F7229" w:rsidRPr="00FE1A1A" w:rsidRDefault="009F7229">
      <w:pPr>
        <w:pStyle w:val="BodyText"/>
        <w:ind w:left="720" w:firstLine="720"/>
        <w:rPr>
          <w:sz w:val="20"/>
        </w:rPr>
      </w:pPr>
      <w:r w:rsidRPr="00FE1A1A">
        <w:rPr>
          <w:sz w:val="20"/>
        </w:rPr>
        <w:t>As previously stated, a residential factor of 1 will result in the taxation of all property at the same rate</w:t>
      </w:r>
      <w:r w:rsidR="00CB5B13" w:rsidRPr="00FE1A1A">
        <w:rPr>
          <w:sz w:val="20"/>
        </w:rPr>
        <w:t xml:space="preserve">.  </w:t>
      </w:r>
      <w:r w:rsidRPr="00FE1A1A">
        <w:rPr>
          <w:sz w:val="20"/>
        </w:rPr>
        <w:t xml:space="preserve">However, </w:t>
      </w:r>
      <w:r w:rsidR="00785D4B">
        <w:rPr>
          <w:sz w:val="20"/>
        </w:rPr>
        <w:t>state law</w:t>
      </w:r>
      <w:r w:rsidRPr="00FE1A1A">
        <w:rPr>
          <w:sz w:val="20"/>
        </w:rPr>
        <w:t xml:space="preserve"> permits the town to adopt a residential factor of less than 1, which would have the effect of increasing the commercial, industrial, and personal property tax rates</w:t>
      </w:r>
      <w:r w:rsidR="006418C7" w:rsidRPr="00FE1A1A">
        <w:rPr>
          <w:sz w:val="20"/>
        </w:rPr>
        <w:t xml:space="preserve"> and decreasing the residential</w:t>
      </w:r>
      <w:r w:rsidRPr="00FE1A1A">
        <w:rPr>
          <w:sz w:val="20"/>
        </w:rPr>
        <w:t xml:space="preserve"> tax rate</w:t>
      </w:r>
      <w:r w:rsidR="00CB5B13" w:rsidRPr="00FE1A1A">
        <w:rPr>
          <w:sz w:val="20"/>
        </w:rPr>
        <w:t xml:space="preserve">.  </w:t>
      </w:r>
      <w:r w:rsidRPr="00FE1A1A">
        <w:rPr>
          <w:sz w:val="20"/>
        </w:rPr>
        <w:t xml:space="preserve">The chart </w:t>
      </w:r>
      <w:r w:rsidR="00E82705" w:rsidRPr="00FE1A1A">
        <w:rPr>
          <w:sz w:val="20"/>
        </w:rPr>
        <w:t xml:space="preserve">in Addendum </w:t>
      </w:r>
      <w:r w:rsidR="00BD252E" w:rsidRPr="00FE1A1A">
        <w:rPr>
          <w:sz w:val="20"/>
        </w:rPr>
        <w:t xml:space="preserve">4 </w:t>
      </w:r>
      <w:r w:rsidRPr="00FE1A1A">
        <w:rPr>
          <w:sz w:val="20"/>
        </w:rPr>
        <w:t xml:space="preserve">shows </w:t>
      </w:r>
      <w:r w:rsidR="002C17C6" w:rsidRPr="00FE1A1A">
        <w:rPr>
          <w:sz w:val="20"/>
        </w:rPr>
        <w:t>the</w:t>
      </w:r>
      <w:r w:rsidR="00E32E18" w:rsidRPr="00FE1A1A">
        <w:rPr>
          <w:sz w:val="20"/>
        </w:rPr>
        <w:t xml:space="preserve"> range of </w:t>
      </w:r>
      <w:r w:rsidR="002C17C6" w:rsidRPr="00FE1A1A">
        <w:rPr>
          <w:sz w:val="20"/>
        </w:rPr>
        <w:t xml:space="preserve">allowable </w:t>
      </w:r>
      <w:r w:rsidRPr="00FE1A1A">
        <w:rPr>
          <w:sz w:val="20"/>
        </w:rPr>
        <w:t>residential factor options available to the Select</w:t>
      </w:r>
      <w:r w:rsidR="004E6DB7">
        <w:rPr>
          <w:sz w:val="20"/>
        </w:rPr>
        <w:t xml:space="preserve"> B</w:t>
      </w:r>
      <w:r w:rsidR="0074401B">
        <w:rPr>
          <w:sz w:val="20"/>
        </w:rPr>
        <w:t>oard</w:t>
      </w:r>
      <w:r w:rsidRPr="00FE1A1A">
        <w:rPr>
          <w:sz w:val="20"/>
        </w:rPr>
        <w:t>.</w:t>
      </w:r>
    </w:p>
    <w:p w:rsidR="009F7229" w:rsidRPr="00FE1A1A" w:rsidRDefault="009F7229">
      <w:pPr>
        <w:pStyle w:val="BodyText"/>
        <w:ind w:left="720" w:firstLine="720"/>
        <w:rPr>
          <w:sz w:val="20"/>
        </w:rPr>
      </w:pPr>
      <w:r w:rsidRPr="00FE1A1A">
        <w:rPr>
          <w:sz w:val="20"/>
        </w:rPr>
        <w:t xml:space="preserve"> </w:t>
      </w:r>
    </w:p>
    <w:p w:rsidR="00E232DF" w:rsidRDefault="00E232DF">
      <w:pPr>
        <w:pStyle w:val="BodyText2"/>
        <w:ind w:left="720" w:firstLine="720"/>
        <w:rPr>
          <w:b/>
          <w:sz w:val="20"/>
          <w:u w:val="single"/>
        </w:rPr>
      </w:pPr>
    </w:p>
    <w:p w:rsidR="00E232DF" w:rsidRDefault="00E232DF">
      <w:pPr>
        <w:pStyle w:val="BodyText2"/>
        <w:ind w:left="720" w:firstLine="720"/>
        <w:rPr>
          <w:b/>
          <w:sz w:val="20"/>
          <w:u w:val="single"/>
        </w:rPr>
      </w:pPr>
    </w:p>
    <w:p w:rsidR="00E232DF" w:rsidRDefault="00E232DF">
      <w:pPr>
        <w:pStyle w:val="BodyText2"/>
        <w:ind w:left="720" w:firstLine="720"/>
        <w:rPr>
          <w:b/>
          <w:sz w:val="20"/>
          <w:u w:val="single"/>
        </w:rPr>
      </w:pPr>
    </w:p>
    <w:p w:rsidR="00CF3B00" w:rsidRPr="00FE1A1A" w:rsidRDefault="00CF3B00">
      <w:pPr>
        <w:pStyle w:val="BodyText2"/>
        <w:ind w:left="720" w:firstLine="720"/>
        <w:rPr>
          <w:b/>
          <w:sz w:val="20"/>
          <w:u w:val="single"/>
        </w:rPr>
      </w:pPr>
      <w:r w:rsidRPr="00FE1A1A">
        <w:rPr>
          <w:b/>
          <w:sz w:val="20"/>
          <w:u w:val="single"/>
        </w:rPr>
        <w:lastRenderedPageBreak/>
        <w:t>Recommendation of the Board of Assessors</w:t>
      </w:r>
    </w:p>
    <w:p w:rsidR="00CF3B00" w:rsidRPr="00FE1A1A" w:rsidRDefault="00CF3B00">
      <w:pPr>
        <w:pStyle w:val="BodyText2"/>
        <w:ind w:left="720" w:firstLine="720"/>
        <w:rPr>
          <w:b/>
          <w:sz w:val="20"/>
          <w:u w:val="single"/>
        </w:rPr>
      </w:pPr>
    </w:p>
    <w:p w:rsidR="009F7229" w:rsidRPr="00FE1A1A" w:rsidRDefault="009F7229">
      <w:pPr>
        <w:pStyle w:val="BodyText"/>
        <w:ind w:left="720" w:firstLine="720"/>
        <w:rPr>
          <w:b/>
          <w:sz w:val="20"/>
        </w:rPr>
      </w:pPr>
      <w:r w:rsidRPr="00FE1A1A">
        <w:rPr>
          <w:b/>
          <w:sz w:val="20"/>
        </w:rPr>
        <w:t>The Board of Assess</w:t>
      </w:r>
      <w:r w:rsidR="00CF3B00" w:rsidRPr="00FE1A1A">
        <w:rPr>
          <w:b/>
          <w:sz w:val="20"/>
        </w:rPr>
        <w:t>ors supports a uniform tax rate for all classes, achieved by the adoption of a residential factor of “1.”</w:t>
      </w:r>
    </w:p>
    <w:p w:rsidR="007E4DBF" w:rsidRPr="00FE1A1A" w:rsidRDefault="007E4DBF">
      <w:pPr>
        <w:pStyle w:val="BodyText"/>
        <w:ind w:left="720" w:firstLine="720"/>
        <w:rPr>
          <w:b/>
          <w:sz w:val="20"/>
        </w:rPr>
      </w:pPr>
    </w:p>
    <w:p w:rsidR="009F7229" w:rsidRPr="00FE1A1A" w:rsidRDefault="009F7229">
      <w:pPr>
        <w:pStyle w:val="BodyText"/>
        <w:numPr>
          <w:ilvl w:val="0"/>
          <w:numId w:val="9"/>
        </w:numPr>
        <w:rPr>
          <w:b/>
          <w:sz w:val="20"/>
        </w:rPr>
      </w:pPr>
      <w:r w:rsidRPr="00FE1A1A">
        <w:rPr>
          <w:b/>
          <w:sz w:val="20"/>
        </w:rPr>
        <w:t>Open Space Discount</w:t>
      </w:r>
    </w:p>
    <w:p w:rsidR="009F7229" w:rsidRPr="00FE1A1A" w:rsidRDefault="009F7229">
      <w:pPr>
        <w:pStyle w:val="BodyText"/>
        <w:ind w:left="720"/>
        <w:rPr>
          <w:sz w:val="20"/>
        </w:rPr>
      </w:pPr>
    </w:p>
    <w:p w:rsidR="009F7229" w:rsidRPr="00FE1A1A" w:rsidRDefault="009F7229">
      <w:pPr>
        <w:pStyle w:val="BodyText"/>
        <w:ind w:left="720" w:firstLine="720"/>
        <w:rPr>
          <w:sz w:val="20"/>
        </w:rPr>
      </w:pPr>
      <w:r w:rsidRPr="00FE1A1A">
        <w:rPr>
          <w:sz w:val="20"/>
        </w:rPr>
        <w:t xml:space="preserve">Open </w:t>
      </w:r>
      <w:r w:rsidR="00261175" w:rsidRPr="00FE1A1A">
        <w:rPr>
          <w:sz w:val="20"/>
        </w:rPr>
        <w:t>S</w:t>
      </w:r>
      <w:r w:rsidRPr="00FE1A1A">
        <w:rPr>
          <w:sz w:val="20"/>
        </w:rPr>
        <w:t>pace is defined in M.G.L</w:t>
      </w:r>
      <w:r w:rsidR="00CB5B13" w:rsidRPr="00FE1A1A">
        <w:rPr>
          <w:sz w:val="20"/>
        </w:rPr>
        <w:t xml:space="preserve">.  </w:t>
      </w:r>
      <w:r w:rsidRPr="00FE1A1A">
        <w:rPr>
          <w:sz w:val="20"/>
        </w:rPr>
        <w:t>Chapter 59, section 2A as:</w:t>
      </w:r>
    </w:p>
    <w:p w:rsidR="009F7229" w:rsidRPr="00FE1A1A" w:rsidRDefault="009F7229">
      <w:pPr>
        <w:pStyle w:val="BodyText"/>
        <w:ind w:firstLine="720"/>
        <w:rPr>
          <w:sz w:val="20"/>
        </w:rPr>
      </w:pPr>
    </w:p>
    <w:p w:rsidR="009F7229" w:rsidRPr="00FE1A1A" w:rsidRDefault="00CF3B00" w:rsidP="00CF3B00">
      <w:pPr>
        <w:pStyle w:val="BodyText"/>
        <w:ind w:left="1872" w:right="720"/>
        <w:rPr>
          <w:sz w:val="20"/>
        </w:rPr>
      </w:pPr>
      <w:r w:rsidRPr="00FE1A1A">
        <w:rPr>
          <w:sz w:val="20"/>
        </w:rPr>
        <w:t>…</w:t>
      </w:r>
      <w:r w:rsidR="009F7229" w:rsidRPr="00FE1A1A">
        <w:rPr>
          <w:sz w:val="20"/>
        </w:rPr>
        <w:t>land which is not otherwise classified and which is not taxable under the provisions of chapters sixty-one, sixty-one A or sixty-one B, or taxable under a permanent conservation restriction, and which land is not held for the production of income but is maintained in an open or natural condition and which contributes significantly to the benefit and enjoyment of the public.</w:t>
      </w:r>
      <w:r w:rsidR="004071C4" w:rsidRPr="00FE1A1A">
        <w:rPr>
          <w:sz w:val="20"/>
        </w:rPr>
        <w:t xml:space="preserve">  [Recently the law was changed to allow inclusion of chapter land.]</w:t>
      </w:r>
    </w:p>
    <w:p w:rsidR="009F7229" w:rsidRPr="00FE1A1A" w:rsidRDefault="009F7229">
      <w:pPr>
        <w:pStyle w:val="BodyText"/>
        <w:rPr>
          <w:sz w:val="20"/>
        </w:rPr>
      </w:pPr>
    </w:p>
    <w:p w:rsidR="00244F25" w:rsidRPr="00FE1A1A" w:rsidRDefault="00244F25" w:rsidP="00244F25">
      <w:pPr>
        <w:pStyle w:val="BodyText"/>
        <w:ind w:left="720" w:firstLine="720"/>
        <w:rPr>
          <w:sz w:val="20"/>
        </w:rPr>
      </w:pPr>
      <w:r w:rsidRPr="00FE1A1A">
        <w:rPr>
          <w:sz w:val="20"/>
        </w:rPr>
        <w:t>State law allows properties classified as Open Space to be taxed at a rate discounted up to 25% from the uniform tax rate.</w:t>
      </w:r>
      <w:r w:rsidR="00261175" w:rsidRPr="00FE1A1A">
        <w:rPr>
          <w:sz w:val="20"/>
        </w:rPr>
        <w:t xml:space="preserve">  The tax dollars lost by the discount are shifted to the residential class of properties</w:t>
      </w:r>
      <w:r w:rsidR="00EF5378" w:rsidRPr="00FE1A1A">
        <w:rPr>
          <w:sz w:val="20"/>
        </w:rPr>
        <w:t>, which includes developable vacant land</w:t>
      </w:r>
      <w:r w:rsidR="00261175" w:rsidRPr="00FE1A1A">
        <w:rPr>
          <w:sz w:val="20"/>
        </w:rPr>
        <w:t>.  The local Board of Assessors must develop the criteria that must be met in order to classify a parcel as Open Space that meets the “significant contribution” for the benefit and enjoyment of the public criteria.  Previously Concord has interpreted “significant” as a size consideration, in addition to other factors including view, watershed, trail</w:t>
      </w:r>
      <w:r w:rsidR="00AC6E24">
        <w:rPr>
          <w:sz w:val="20"/>
        </w:rPr>
        <w:t xml:space="preserve"> </w:t>
      </w:r>
      <w:r w:rsidR="00261175" w:rsidRPr="00FE1A1A">
        <w:rPr>
          <w:sz w:val="20"/>
        </w:rPr>
        <w:t>way, or green belt.</w:t>
      </w:r>
    </w:p>
    <w:p w:rsidR="00261175" w:rsidRPr="00FE1A1A" w:rsidRDefault="00261175">
      <w:pPr>
        <w:pStyle w:val="BodyText"/>
        <w:ind w:left="720" w:firstLine="720"/>
        <w:rPr>
          <w:sz w:val="20"/>
        </w:rPr>
      </w:pPr>
    </w:p>
    <w:p w:rsidR="008D5D89" w:rsidRPr="00FE1A1A" w:rsidRDefault="00261175">
      <w:pPr>
        <w:pStyle w:val="BodyText"/>
        <w:ind w:left="720" w:firstLine="720"/>
        <w:rPr>
          <w:sz w:val="20"/>
        </w:rPr>
      </w:pPr>
      <w:r w:rsidRPr="00FE1A1A">
        <w:rPr>
          <w:sz w:val="20"/>
        </w:rPr>
        <w:t>Only</w:t>
      </w:r>
      <w:r w:rsidR="00322587" w:rsidRPr="00FE1A1A">
        <w:rPr>
          <w:sz w:val="20"/>
        </w:rPr>
        <w:t xml:space="preserve"> one community</w:t>
      </w:r>
      <w:r w:rsidRPr="00FE1A1A">
        <w:rPr>
          <w:sz w:val="20"/>
        </w:rPr>
        <w:t xml:space="preserve"> in </w:t>
      </w:r>
      <w:smartTag w:uri="urn:schemas-microsoft-com:office:smarttags" w:element="State">
        <w:r w:rsidRPr="00FE1A1A">
          <w:rPr>
            <w:sz w:val="20"/>
          </w:rPr>
          <w:t>Massachusetts</w:t>
        </w:r>
      </w:smartTag>
      <w:r w:rsidRPr="00FE1A1A">
        <w:rPr>
          <w:sz w:val="20"/>
        </w:rPr>
        <w:t xml:space="preserve"> grant</w:t>
      </w:r>
      <w:r w:rsidR="00322587" w:rsidRPr="00FE1A1A">
        <w:rPr>
          <w:sz w:val="20"/>
        </w:rPr>
        <w:t>s</w:t>
      </w:r>
      <w:r w:rsidRPr="00FE1A1A">
        <w:rPr>
          <w:sz w:val="20"/>
        </w:rPr>
        <w:t xml:space="preserve"> an open space discount: </w:t>
      </w:r>
      <w:smartTag w:uri="urn:schemas-microsoft-com:office:smarttags" w:element="place">
        <w:smartTag w:uri="urn:schemas-microsoft-com:office:smarttags" w:element="City">
          <w:r w:rsidRPr="00FE1A1A">
            <w:rPr>
              <w:sz w:val="20"/>
            </w:rPr>
            <w:t>Bedford</w:t>
          </w:r>
        </w:smartTag>
      </w:smartTag>
      <w:r w:rsidRPr="00FE1A1A">
        <w:rPr>
          <w:sz w:val="20"/>
        </w:rPr>
        <w:t xml:space="preserve">.  </w:t>
      </w:r>
      <w:r w:rsidR="00EF5378" w:rsidRPr="00FE1A1A">
        <w:rPr>
          <w:sz w:val="20"/>
        </w:rPr>
        <w:t>Boards of Assessors use this classification sparingly since most land fits into other classifications, and the open space classification, on its own, makes no difference in the assessment of a property.</w:t>
      </w:r>
      <w:r w:rsidR="00CB5B13" w:rsidRPr="00FE1A1A">
        <w:rPr>
          <w:sz w:val="20"/>
        </w:rPr>
        <w:t xml:space="preserve">  </w:t>
      </w:r>
      <w:r w:rsidR="00EF5378" w:rsidRPr="00FE1A1A">
        <w:rPr>
          <w:sz w:val="20"/>
        </w:rPr>
        <w:t xml:space="preserve">Assessors have also observed that as the years have passed, </w:t>
      </w:r>
      <w:r w:rsidR="002C17C6" w:rsidRPr="00FE1A1A">
        <w:rPr>
          <w:sz w:val="20"/>
        </w:rPr>
        <w:t>many</w:t>
      </w:r>
      <w:r w:rsidR="00EF5378" w:rsidRPr="00FE1A1A">
        <w:rPr>
          <w:sz w:val="20"/>
        </w:rPr>
        <w:t xml:space="preserve"> of the land </w:t>
      </w:r>
      <w:r w:rsidR="002C17C6" w:rsidRPr="00FE1A1A">
        <w:rPr>
          <w:sz w:val="20"/>
        </w:rPr>
        <w:t>parcels afforded a tax discount were</w:t>
      </w:r>
      <w:r w:rsidR="00EF5378" w:rsidRPr="00FE1A1A">
        <w:rPr>
          <w:sz w:val="20"/>
        </w:rPr>
        <w:t xml:space="preserve"> developed anyway, regardless of the </w:t>
      </w:r>
      <w:r w:rsidR="002C17C6" w:rsidRPr="00FE1A1A">
        <w:rPr>
          <w:sz w:val="20"/>
        </w:rPr>
        <w:t>tax incentive employed</w:t>
      </w:r>
      <w:r w:rsidR="00EF5378" w:rsidRPr="00FE1A1A">
        <w:rPr>
          <w:sz w:val="20"/>
        </w:rPr>
        <w:t xml:space="preserve"> to encourage protection of open land and/or </w:t>
      </w:r>
      <w:r w:rsidR="002C17C6" w:rsidRPr="00FE1A1A">
        <w:rPr>
          <w:sz w:val="20"/>
        </w:rPr>
        <w:t xml:space="preserve">be a </w:t>
      </w:r>
      <w:r w:rsidR="00EF5378" w:rsidRPr="00FE1A1A">
        <w:rPr>
          <w:sz w:val="20"/>
        </w:rPr>
        <w:t xml:space="preserve">deterrent to development.  </w:t>
      </w:r>
    </w:p>
    <w:p w:rsidR="008D5D89" w:rsidRPr="00FE1A1A" w:rsidRDefault="008D5D89">
      <w:pPr>
        <w:pStyle w:val="BodyText"/>
        <w:ind w:left="720" w:firstLine="720"/>
        <w:rPr>
          <w:sz w:val="20"/>
        </w:rPr>
      </w:pPr>
    </w:p>
    <w:p w:rsidR="009F7229" w:rsidRPr="00D66376" w:rsidRDefault="008D5D89" w:rsidP="00E06B85">
      <w:pPr>
        <w:pStyle w:val="BodyText"/>
        <w:ind w:left="720" w:firstLine="720"/>
        <w:rPr>
          <w:b/>
          <w:i/>
          <w:sz w:val="20"/>
        </w:rPr>
      </w:pPr>
      <w:r w:rsidRPr="007C1055">
        <w:rPr>
          <w:b/>
          <w:sz w:val="20"/>
          <w:u w:val="single"/>
        </w:rPr>
        <w:t>Presently, there are no parcels classified by the Board of Assessors as Class 2 – Open Space.</w:t>
      </w:r>
      <w:r w:rsidR="001B4DF7" w:rsidRPr="00FE1A1A">
        <w:rPr>
          <w:sz w:val="20"/>
        </w:rPr>
        <w:t xml:space="preserve">  </w:t>
      </w:r>
      <w:r w:rsidR="004071C4" w:rsidRPr="00FE1A1A">
        <w:rPr>
          <w:sz w:val="20"/>
        </w:rPr>
        <w:t xml:space="preserve">During the past </w:t>
      </w:r>
      <w:r w:rsidR="0074401B">
        <w:rPr>
          <w:sz w:val="20"/>
        </w:rPr>
        <w:t>several</w:t>
      </w:r>
      <w:r w:rsidR="004071C4" w:rsidRPr="00FE1A1A">
        <w:rPr>
          <w:sz w:val="20"/>
        </w:rPr>
        <w:t xml:space="preserve"> years the </w:t>
      </w:r>
      <w:r w:rsidRPr="00FE1A1A">
        <w:rPr>
          <w:sz w:val="20"/>
        </w:rPr>
        <w:t xml:space="preserve">Assessors </w:t>
      </w:r>
      <w:r w:rsidR="004071C4" w:rsidRPr="00FE1A1A">
        <w:rPr>
          <w:sz w:val="20"/>
        </w:rPr>
        <w:t xml:space="preserve">have </w:t>
      </w:r>
      <w:r w:rsidRPr="00FE1A1A">
        <w:rPr>
          <w:sz w:val="20"/>
        </w:rPr>
        <w:t xml:space="preserve">examined the valuation methodologies for land, including undeveloped land, and considered what might be an appropriate policy that Concord could adopt for open space.  In particular, vacant land as well as undeveloped lots on a developed parcel were reviewed in detail.  Current assessing practices in </w:t>
      </w:r>
      <w:smartTag w:uri="urn:schemas-microsoft-com:office:smarttags" w:element="place">
        <w:smartTag w:uri="urn:schemas-microsoft-com:office:smarttags" w:element="City">
          <w:r w:rsidRPr="00FE1A1A">
            <w:rPr>
              <w:sz w:val="20"/>
            </w:rPr>
            <w:t>Concord</w:t>
          </w:r>
        </w:smartTag>
      </w:smartTag>
      <w:r w:rsidRPr="00FE1A1A">
        <w:rPr>
          <w:sz w:val="20"/>
        </w:rPr>
        <w:t xml:space="preserve"> do not </w:t>
      </w:r>
      <w:r w:rsidR="00AA6AB3" w:rsidRPr="00FE1A1A">
        <w:rPr>
          <w:sz w:val="20"/>
        </w:rPr>
        <w:t>use</w:t>
      </w:r>
      <w:r w:rsidRPr="00FE1A1A">
        <w:rPr>
          <w:sz w:val="20"/>
        </w:rPr>
        <w:t xml:space="preserve"> an aggressive approach to the valuation of undeveloped parcels by assuming maximum developability.  Valuing a parcel as excess land </w:t>
      </w:r>
      <w:r w:rsidR="00AA6AB3" w:rsidRPr="00FE1A1A">
        <w:rPr>
          <w:sz w:val="20"/>
        </w:rPr>
        <w:t xml:space="preserve">results in a more favorable property tax for the owner, </w:t>
      </w:r>
      <w:r w:rsidRPr="00FE1A1A">
        <w:rPr>
          <w:sz w:val="20"/>
        </w:rPr>
        <w:t>rather than assessing it as buildable and then applying an open space discount.  The Board of Assessors does not believe there is any advantage to classify</w:t>
      </w:r>
      <w:r w:rsidR="00E73DDF" w:rsidRPr="00FE1A1A">
        <w:rPr>
          <w:sz w:val="20"/>
        </w:rPr>
        <w:t>ing</w:t>
      </w:r>
      <w:r w:rsidRPr="00FE1A1A">
        <w:rPr>
          <w:sz w:val="20"/>
        </w:rPr>
        <w:t xml:space="preserve"> properties as Class 2 – Open Space.</w:t>
      </w:r>
      <w:r w:rsidR="00E06B85">
        <w:rPr>
          <w:sz w:val="20"/>
        </w:rPr>
        <w:t xml:space="preserve">  </w:t>
      </w:r>
      <w:r w:rsidR="00E06B85" w:rsidRPr="00D66376">
        <w:rPr>
          <w:b/>
          <w:i/>
          <w:sz w:val="20"/>
        </w:rPr>
        <w:t xml:space="preserve">Further the tax discount under the Chapter land program is far greater than afforded by the open space discount.  </w:t>
      </w:r>
    </w:p>
    <w:p w:rsidR="00E06B85" w:rsidRPr="00D66376" w:rsidRDefault="00E06B85" w:rsidP="00E06B85">
      <w:pPr>
        <w:pStyle w:val="BodyText"/>
        <w:ind w:left="720" w:firstLine="720"/>
        <w:rPr>
          <w:b/>
          <w:i/>
          <w:sz w:val="20"/>
        </w:rPr>
      </w:pPr>
    </w:p>
    <w:p w:rsidR="00621434" w:rsidRPr="00FE1A1A" w:rsidRDefault="00621434">
      <w:pPr>
        <w:pStyle w:val="BodyText"/>
        <w:ind w:left="720"/>
        <w:rPr>
          <w:b/>
          <w:sz w:val="20"/>
        </w:rPr>
      </w:pPr>
      <w:r w:rsidRPr="00FE1A1A">
        <w:rPr>
          <w:sz w:val="20"/>
        </w:rPr>
        <w:tab/>
      </w:r>
      <w:r w:rsidRPr="00FE1A1A">
        <w:rPr>
          <w:b/>
          <w:sz w:val="20"/>
          <w:u w:val="single"/>
        </w:rPr>
        <w:t>Recommendation of the Board of Assessors</w:t>
      </w:r>
    </w:p>
    <w:p w:rsidR="00621434" w:rsidRPr="00FE1A1A" w:rsidRDefault="00621434">
      <w:pPr>
        <w:pStyle w:val="BodyText"/>
        <w:ind w:left="720"/>
        <w:rPr>
          <w:b/>
          <w:sz w:val="20"/>
        </w:rPr>
      </w:pPr>
    </w:p>
    <w:p w:rsidR="002A4725" w:rsidRPr="00FE1A1A" w:rsidRDefault="009F7229">
      <w:pPr>
        <w:pStyle w:val="BodyText"/>
        <w:ind w:left="720"/>
        <w:rPr>
          <w:b/>
          <w:sz w:val="20"/>
        </w:rPr>
      </w:pPr>
      <w:r w:rsidRPr="00FE1A1A">
        <w:rPr>
          <w:b/>
          <w:sz w:val="20"/>
        </w:rPr>
        <w:tab/>
        <w:t xml:space="preserve">The Board of Assessors </w:t>
      </w:r>
      <w:r w:rsidR="00621434" w:rsidRPr="00FE1A1A">
        <w:rPr>
          <w:b/>
          <w:sz w:val="20"/>
        </w:rPr>
        <w:t>recommends that the Select</w:t>
      </w:r>
      <w:r w:rsidR="004E6DB7">
        <w:rPr>
          <w:b/>
          <w:sz w:val="20"/>
        </w:rPr>
        <w:t xml:space="preserve"> B</w:t>
      </w:r>
      <w:r w:rsidR="0074401B">
        <w:rPr>
          <w:b/>
          <w:sz w:val="20"/>
        </w:rPr>
        <w:t>oard</w:t>
      </w:r>
      <w:r w:rsidR="00621434" w:rsidRPr="00FE1A1A">
        <w:rPr>
          <w:b/>
          <w:sz w:val="20"/>
        </w:rPr>
        <w:t xml:space="preserve"> not adopt an open space discount</w:t>
      </w:r>
      <w:r w:rsidR="00E73DDF" w:rsidRPr="00FE1A1A">
        <w:rPr>
          <w:b/>
          <w:sz w:val="20"/>
        </w:rPr>
        <w:t xml:space="preserve"> since there are no parcels </w:t>
      </w:r>
      <w:r w:rsidR="002C17C6" w:rsidRPr="00FE1A1A">
        <w:rPr>
          <w:b/>
          <w:sz w:val="20"/>
        </w:rPr>
        <w:t>classified as</w:t>
      </w:r>
      <w:r w:rsidR="00E73DDF" w:rsidRPr="00FE1A1A">
        <w:rPr>
          <w:b/>
          <w:sz w:val="20"/>
        </w:rPr>
        <w:t xml:space="preserve"> Class 2</w:t>
      </w:r>
      <w:r w:rsidR="00621434" w:rsidRPr="00FE1A1A">
        <w:rPr>
          <w:b/>
          <w:sz w:val="20"/>
        </w:rPr>
        <w:t>.</w:t>
      </w:r>
    </w:p>
    <w:p w:rsidR="007E4DBF" w:rsidRPr="00FE1A1A" w:rsidRDefault="007E4DBF" w:rsidP="00B756BE">
      <w:pPr>
        <w:pStyle w:val="BodyText"/>
        <w:ind w:left="0"/>
        <w:rPr>
          <w:b/>
          <w:sz w:val="20"/>
        </w:rPr>
      </w:pPr>
    </w:p>
    <w:p w:rsidR="009F7229" w:rsidRPr="00FE1A1A" w:rsidRDefault="009F7229" w:rsidP="008E7444">
      <w:pPr>
        <w:pStyle w:val="BodyText"/>
        <w:ind w:left="720"/>
        <w:rPr>
          <w:b/>
          <w:sz w:val="20"/>
        </w:rPr>
      </w:pPr>
      <w:r w:rsidRPr="00FE1A1A">
        <w:rPr>
          <w:b/>
          <w:sz w:val="20"/>
        </w:rPr>
        <w:t>C.</w:t>
      </w:r>
      <w:r w:rsidRPr="00FE1A1A">
        <w:rPr>
          <w:b/>
          <w:sz w:val="20"/>
        </w:rPr>
        <w:tab/>
        <w:t>Residential Exemption</w:t>
      </w:r>
    </w:p>
    <w:p w:rsidR="009F7229" w:rsidRPr="00FE1A1A" w:rsidRDefault="009F7229" w:rsidP="008E7444">
      <w:pPr>
        <w:pStyle w:val="BodyText"/>
        <w:ind w:left="720"/>
        <w:rPr>
          <w:sz w:val="20"/>
        </w:rPr>
      </w:pPr>
    </w:p>
    <w:p w:rsidR="009F7229" w:rsidRPr="00FE1A1A" w:rsidRDefault="00E82705" w:rsidP="008E7444">
      <w:pPr>
        <w:pStyle w:val="BodyText"/>
        <w:ind w:left="720" w:firstLine="720"/>
        <w:rPr>
          <w:sz w:val="20"/>
        </w:rPr>
      </w:pPr>
      <w:r w:rsidRPr="00FE1A1A">
        <w:rPr>
          <w:sz w:val="20"/>
        </w:rPr>
        <w:t>This</w:t>
      </w:r>
      <w:r w:rsidR="00C40C0D" w:rsidRPr="00FE1A1A">
        <w:rPr>
          <w:sz w:val="20"/>
        </w:rPr>
        <w:t xml:space="preserve"> mechanism provides for the redistribution of the tax levy among residential property owners, </w:t>
      </w:r>
      <w:r w:rsidR="002A4725" w:rsidRPr="00FE1A1A">
        <w:rPr>
          <w:sz w:val="20"/>
        </w:rPr>
        <w:t>solely</w:t>
      </w:r>
      <w:r w:rsidR="00C40C0D" w:rsidRPr="00FE1A1A">
        <w:rPr>
          <w:sz w:val="20"/>
        </w:rPr>
        <w:t xml:space="preserve"> with</w:t>
      </w:r>
      <w:r w:rsidRPr="00FE1A1A">
        <w:rPr>
          <w:sz w:val="20"/>
        </w:rPr>
        <w:t>in</w:t>
      </w:r>
      <w:r w:rsidR="00C40C0D" w:rsidRPr="00FE1A1A">
        <w:rPr>
          <w:sz w:val="20"/>
        </w:rPr>
        <w:t xml:space="preserve"> the Residential Class (C</w:t>
      </w:r>
      <w:r w:rsidR="004E6DB7">
        <w:rPr>
          <w:sz w:val="20"/>
        </w:rPr>
        <w:t>lass</w:t>
      </w:r>
      <w:r w:rsidR="00C40C0D" w:rsidRPr="00FE1A1A">
        <w:rPr>
          <w:sz w:val="20"/>
        </w:rPr>
        <w:t xml:space="preserve"> 1)</w:t>
      </w:r>
      <w:r w:rsidR="00CB5B13" w:rsidRPr="00FE1A1A">
        <w:rPr>
          <w:sz w:val="20"/>
        </w:rPr>
        <w:t xml:space="preserve">.  </w:t>
      </w:r>
      <w:r w:rsidR="009C6D1C" w:rsidRPr="00FE1A1A">
        <w:rPr>
          <w:sz w:val="20"/>
        </w:rPr>
        <w:t xml:space="preserve">“Exemption” is a misnomer since it is actually a tax shift among residential properties.  </w:t>
      </w:r>
      <w:r w:rsidR="00C40C0D" w:rsidRPr="00FE1A1A">
        <w:rPr>
          <w:sz w:val="20"/>
        </w:rPr>
        <w:t>It invol</w:t>
      </w:r>
      <w:r w:rsidRPr="00FE1A1A">
        <w:rPr>
          <w:sz w:val="20"/>
        </w:rPr>
        <w:t>v</w:t>
      </w:r>
      <w:r w:rsidR="00C40C0D" w:rsidRPr="00FE1A1A">
        <w:rPr>
          <w:sz w:val="20"/>
        </w:rPr>
        <w:t>e</w:t>
      </w:r>
      <w:r w:rsidRPr="00FE1A1A">
        <w:rPr>
          <w:sz w:val="20"/>
        </w:rPr>
        <w:t>s</w:t>
      </w:r>
      <w:r w:rsidR="00C40C0D" w:rsidRPr="00FE1A1A">
        <w:rPr>
          <w:sz w:val="20"/>
        </w:rPr>
        <w:t xml:space="preserve"> the following steps:</w:t>
      </w:r>
    </w:p>
    <w:p w:rsidR="00E32E18" w:rsidRPr="00FE1A1A" w:rsidRDefault="00E32E18" w:rsidP="008E7444">
      <w:pPr>
        <w:pStyle w:val="BodyText"/>
        <w:ind w:left="720" w:firstLine="720"/>
        <w:rPr>
          <w:sz w:val="20"/>
        </w:rPr>
      </w:pPr>
    </w:p>
    <w:p w:rsidR="00C40C0D" w:rsidRPr="00FE1A1A" w:rsidRDefault="00C40C0D" w:rsidP="00C40C0D">
      <w:pPr>
        <w:pStyle w:val="BodyText"/>
        <w:numPr>
          <w:ilvl w:val="0"/>
          <w:numId w:val="13"/>
        </w:numPr>
        <w:rPr>
          <w:sz w:val="20"/>
        </w:rPr>
      </w:pPr>
      <w:r w:rsidRPr="00FE1A1A">
        <w:rPr>
          <w:sz w:val="20"/>
        </w:rPr>
        <w:t xml:space="preserve">Subtracting a standard dollar amount (a percentage of the </w:t>
      </w:r>
      <w:r w:rsidR="00E82705" w:rsidRPr="00FE1A1A">
        <w:rPr>
          <w:sz w:val="20"/>
        </w:rPr>
        <w:t>a</w:t>
      </w:r>
      <w:r w:rsidRPr="00FE1A1A">
        <w:rPr>
          <w:sz w:val="20"/>
        </w:rPr>
        <w:t>verage Class 1 value) from every qualifying owner-occupied residential parcel;</w:t>
      </w:r>
    </w:p>
    <w:p w:rsidR="00C40C0D" w:rsidRPr="00FE1A1A" w:rsidRDefault="00C40C0D" w:rsidP="00C40C0D">
      <w:pPr>
        <w:pStyle w:val="BodyText"/>
        <w:rPr>
          <w:sz w:val="20"/>
        </w:rPr>
      </w:pPr>
    </w:p>
    <w:p w:rsidR="00C40C0D" w:rsidRPr="00FE1A1A" w:rsidRDefault="00C40C0D" w:rsidP="00C40C0D">
      <w:pPr>
        <w:pStyle w:val="BodyText"/>
        <w:numPr>
          <w:ilvl w:val="0"/>
          <w:numId w:val="13"/>
        </w:numPr>
        <w:rPr>
          <w:sz w:val="20"/>
        </w:rPr>
      </w:pPr>
      <w:r w:rsidRPr="00FE1A1A">
        <w:rPr>
          <w:sz w:val="20"/>
        </w:rPr>
        <w:t>Recalculating the Class 1 tax rate based on the ne</w:t>
      </w:r>
      <w:r w:rsidR="00801167" w:rsidRPr="00FE1A1A">
        <w:rPr>
          <w:sz w:val="20"/>
        </w:rPr>
        <w:t xml:space="preserve">w total of the </w:t>
      </w:r>
      <w:r w:rsidRPr="00FE1A1A">
        <w:rPr>
          <w:sz w:val="20"/>
        </w:rPr>
        <w:t>Class 1 taxable value</w:t>
      </w:r>
      <w:r w:rsidR="00CB5B13" w:rsidRPr="00FE1A1A">
        <w:rPr>
          <w:sz w:val="20"/>
        </w:rPr>
        <w:t xml:space="preserve">.  </w:t>
      </w:r>
      <w:r w:rsidRPr="00FE1A1A">
        <w:rPr>
          <w:sz w:val="20"/>
        </w:rPr>
        <w:t>The Class 1 tax levy must remain unchanged before and after this calculation.</w:t>
      </w:r>
    </w:p>
    <w:p w:rsidR="009F7229" w:rsidRPr="00FE1A1A" w:rsidRDefault="009F7229">
      <w:pPr>
        <w:pStyle w:val="BodyText"/>
        <w:ind w:left="720" w:firstLine="720"/>
        <w:rPr>
          <w:sz w:val="20"/>
        </w:rPr>
      </w:pPr>
    </w:p>
    <w:p w:rsidR="00C40C0D" w:rsidRPr="00FE1A1A" w:rsidRDefault="00C40C0D">
      <w:pPr>
        <w:pStyle w:val="BodyText"/>
        <w:ind w:left="720" w:firstLine="720"/>
        <w:rPr>
          <w:sz w:val="20"/>
        </w:rPr>
      </w:pPr>
      <w:r w:rsidRPr="00FE1A1A">
        <w:rPr>
          <w:sz w:val="20"/>
        </w:rPr>
        <w:t>This has the net result of shifting taxes from Class 1 parcels that are below the average value to parcels within the Class that are above the aver</w:t>
      </w:r>
      <w:r w:rsidR="00FC369F" w:rsidRPr="00FE1A1A">
        <w:rPr>
          <w:sz w:val="20"/>
        </w:rPr>
        <w:t>age</w:t>
      </w:r>
      <w:r w:rsidR="00CB5B13" w:rsidRPr="00FE1A1A">
        <w:rPr>
          <w:sz w:val="20"/>
        </w:rPr>
        <w:t xml:space="preserve">.  </w:t>
      </w:r>
      <w:r w:rsidR="00FC369F" w:rsidRPr="00FE1A1A">
        <w:rPr>
          <w:sz w:val="20"/>
        </w:rPr>
        <w:t>It also, however, results</w:t>
      </w:r>
      <w:r w:rsidRPr="00FE1A1A">
        <w:rPr>
          <w:sz w:val="20"/>
        </w:rPr>
        <w:t xml:space="preserve"> in substantially higher taxes on apartment and multi-family parcels that are</w:t>
      </w:r>
      <w:r w:rsidR="00E82705" w:rsidRPr="00FE1A1A">
        <w:rPr>
          <w:sz w:val="20"/>
        </w:rPr>
        <w:t xml:space="preserve"> not owner occupied, on vacant</w:t>
      </w:r>
      <w:r w:rsidRPr="00FE1A1A">
        <w:rPr>
          <w:sz w:val="20"/>
        </w:rPr>
        <w:t xml:space="preserve"> land parcels in the Class</w:t>
      </w:r>
      <w:r w:rsidR="00E82705" w:rsidRPr="00FE1A1A">
        <w:rPr>
          <w:sz w:val="20"/>
        </w:rPr>
        <w:t>,</w:t>
      </w:r>
      <w:r w:rsidRPr="00FE1A1A">
        <w:rPr>
          <w:sz w:val="20"/>
        </w:rPr>
        <w:t xml:space="preserve"> and on any other residential property which is not owner occupied (including, in many instances, </w:t>
      </w:r>
      <w:r w:rsidR="00801167" w:rsidRPr="00FE1A1A">
        <w:rPr>
          <w:sz w:val="20"/>
        </w:rPr>
        <w:t>properties that are owned by a t</w:t>
      </w:r>
      <w:r w:rsidRPr="00FE1A1A">
        <w:rPr>
          <w:sz w:val="20"/>
        </w:rPr>
        <w:t>rust).</w:t>
      </w:r>
    </w:p>
    <w:p w:rsidR="00C40C0D" w:rsidRPr="00FE1A1A" w:rsidRDefault="00C40C0D">
      <w:pPr>
        <w:pStyle w:val="BodyText"/>
        <w:ind w:left="720" w:firstLine="720"/>
        <w:rPr>
          <w:sz w:val="20"/>
        </w:rPr>
      </w:pPr>
    </w:p>
    <w:p w:rsidR="00C40C0D" w:rsidRPr="00FE1A1A" w:rsidRDefault="00C40C0D">
      <w:pPr>
        <w:pStyle w:val="BodyText"/>
        <w:ind w:left="720" w:firstLine="720"/>
        <w:rPr>
          <w:sz w:val="20"/>
        </w:rPr>
      </w:pPr>
      <w:r w:rsidRPr="00FE1A1A">
        <w:rPr>
          <w:sz w:val="20"/>
        </w:rPr>
        <w:t xml:space="preserve">The selected percentage to calculate the standard qualifying assessed value reduction can be from 0 to </w:t>
      </w:r>
      <w:r w:rsidR="00D66376">
        <w:rPr>
          <w:sz w:val="20"/>
        </w:rPr>
        <w:t>35</w:t>
      </w:r>
      <w:r w:rsidRPr="00FE1A1A">
        <w:rPr>
          <w:sz w:val="20"/>
        </w:rPr>
        <w:t>%, but selecting a certain percent does not mean that everyone gets that exact percent tax reduction</w:t>
      </w:r>
      <w:r w:rsidR="00CB5B13" w:rsidRPr="00FE1A1A">
        <w:rPr>
          <w:sz w:val="20"/>
        </w:rPr>
        <w:t xml:space="preserve">.  </w:t>
      </w:r>
      <w:r w:rsidRPr="00FE1A1A">
        <w:rPr>
          <w:sz w:val="20"/>
        </w:rPr>
        <w:t>This is because the tax rate for the Class must be raised</w:t>
      </w:r>
      <w:r w:rsidR="00CB5B13" w:rsidRPr="00FE1A1A">
        <w:rPr>
          <w:sz w:val="20"/>
        </w:rPr>
        <w:t xml:space="preserve">.  </w:t>
      </w:r>
      <w:r w:rsidRPr="00FE1A1A">
        <w:rPr>
          <w:sz w:val="20"/>
        </w:rPr>
        <w:t>The impact of the exemption – who pays more and who pays less – is not conditioned upon the income status of the occupant</w:t>
      </w:r>
      <w:r w:rsidR="00CB5B13" w:rsidRPr="00FE1A1A">
        <w:rPr>
          <w:sz w:val="20"/>
        </w:rPr>
        <w:t xml:space="preserve">.  </w:t>
      </w:r>
      <w:r w:rsidRPr="00FE1A1A">
        <w:rPr>
          <w:sz w:val="20"/>
        </w:rPr>
        <w:t xml:space="preserve">The manner in which the residential exemption works </w:t>
      </w:r>
      <w:r w:rsidR="002C17C6" w:rsidRPr="00FE1A1A">
        <w:rPr>
          <w:sz w:val="20"/>
        </w:rPr>
        <w:t>implies the presumption</w:t>
      </w:r>
      <w:r w:rsidRPr="00FE1A1A">
        <w:rPr>
          <w:sz w:val="20"/>
        </w:rPr>
        <w:t xml:space="preserve"> that all occupants of higher-valued properties also have higher income</w:t>
      </w:r>
      <w:r w:rsidR="002C17C6" w:rsidRPr="00FE1A1A">
        <w:rPr>
          <w:sz w:val="20"/>
        </w:rPr>
        <w:t>s</w:t>
      </w:r>
      <w:r w:rsidRPr="00FE1A1A">
        <w:rPr>
          <w:sz w:val="20"/>
        </w:rPr>
        <w:t>.</w:t>
      </w:r>
    </w:p>
    <w:p w:rsidR="009F7229" w:rsidRPr="00FE1A1A" w:rsidRDefault="009F7229">
      <w:pPr>
        <w:pStyle w:val="BodyText"/>
        <w:ind w:left="720" w:firstLine="720"/>
        <w:rPr>
          <w:sz w:val="20"/>
        </w:rPr>
      </w:pPr>
    </w:p>
    <w:p w:rsidR="009F7229" w:rsidRPr="006C6A0B" w:rsidRDefault="009F7229" w:rsidP="004A0796">
      <w:pPr>
        <w:pStyle w:val="BodyText"/>
        <w:ind w:left="720" w:firstLine="720"/>
        <w:rPr>
          <w:sz w:val="20"/>
        </w:rPr>
      </w:pPr>
      <w:r w:rsidRPr="00FB02EF">
        <w:rPr>
          <w:sz w:val="20"/>
        </w:rPr>
        <w:t xml:space="preserve">The average value of Class </w:t>
      </w:r>
      <w:r w:rsidR="004E6DB7">
        <w:rPr>
          <w:sz w:val="20"/>
        </w:rPr>
        <w:t>1</w:t>
      </w:r>
      <w:r w:rsidRPr="00FB02EF">
        <w:rPr>
          <w:sz w:val="20"/>
        </w:rPr>
        <w:t xml:space="preserve"> is </w:t>
      </w:r>
      <w:r w:rsidR="00937950" w:rsidRPr="00FB02EF">
        <w:rPr>
          <w:sz w:val="20"/>
        </w:rPr>
        <w:t>$</w:t>
      </w:r>
      <w:r w:rsidR="004D6079">
        <w:rPr>
          <w:sz w:val="20"/>
        </w:rPr>
        <w:t>94</w:t>
      </w:r>
      <w:r w:rsidR="004B3555">
        <w:rPr>
          <w:sz w:val="20"/>
        </w:rPr>
        <w:t>5</w:t>
      </w:r>
      <w:r w:rsidR="004D6079">
        <w:rPr>
          <w:sz w:val="20"/>
        </w:rPr>
        <w:t>,</w:t>
      </w:r>
      <w:r w:rsidR="004B3555">
        <w:rPr>
          <w:sz w:val="20"/>
        </w:rPr>
        <w:t>311</w:t>
      </w:r>
      <w:r w:rsidRPr="00FB02EF">
        <w:rPr>
          <w:sz w:val="20"/>
        </w:rPr>
        <w:t xml:space="preserve"> while the average single family home value is </w:t>
      </w:r>
      <w:r w:rsidR="00680AE4" w:rsidRPr="00FB02EF">
        <w:rPr>
          <w:sz w:val="20"/>
        </w:rPr>
        <w:t>$</w:t>
      </w:r>
      <w:r w:rsidR="004D6079">
        <w:rPr>
          <w:sz w:val="20"/>
        </w:rPr>
        <w:t>1,014,302</w:t>
      </w:r>
      <w:r w:rsidR="003038D4" w:rsidRPr="00FB02EF">
        <w:rPr>
          <w:sz w:val="20"/>
        </w:rPr>
        <w:t>.</w:t>
      </w:r>
      <w:r w:rsidR="00CB5B13" w:rsidRPr="00FB02EF">
        <w:rPr>
          <w:sz w:val="20"/>
        </w:rPr>
        <w:t xml:space="preserve">  </w:t>
      </w:r>
      <w:r w:rsidRPr="00FB02EF">
        <w:rPr>
          <w:sz w:val="20"/>
        </w:rPr>
        <w:t>The exemption, however, would be calculated on the $</w:t>
      </w:r>
      <w:r w:rsidR="00B74B69">
        <w:rPr>
          <w:sz w:val="20"/>
        </w:rPr>
        <w:t>9</w:t>
      </w:r>
      <w:r w:rsidR="004D6079">
        <w:rPr>
          <w:sz w:val="20"/>
        </w:rPr>
        <w:t>4</w:t>
      </w:r>
      <w:r w:rsidR="004B3555">
        <w:rPr>
          <w:sz w:val="20"/>
        </w:rPr>
        <w:t>5</w:t>
      </w:r>
      <w:r w:rsidR="008459A7">
        <w:rPr>
          <w:sz w:val="20"/>
        </w:rPr>
        <w:t>,</w:t>
      </w:r>
      <w:r w:rsidR="00F008C7">
        <w:rPr>
          <w:sz w:val="20"/>
        </w:rPr>
        <w:t>286</w:t>
      </w:r>
      <w:r w:rsidR="0024344B" w:rsidRPr="00FB02EF">
        <w:rPr>
          <w:sz w:val="20"/>
        </w:rPr>
        <w:t xml:space="preserve"> va</w:t>
      </w:r>
      <w:r w:rsidRPr="00FB02EF">
        <w:rPr>
          <w:sz w:val="20"/>
        </w:rPr>
        <w:t>lue</w:t>
      </w:r>
      <w:r w:rsidR="00CB5B13" w:rsidRPr="00FB02EF">
        <w:rPr>
          <w:sz w:val="20"/>
        </w:rPr>
        <w:t xml:space="preserve">.  </w:t>
      </w:r>
      <w:r w:rsidR="006561D5" w:rsidRPr="00FB02EF">
        <w:rPr>
          <w:sz w:val="20"/>
        </w:rPr>
        <w:t xml:space="preserve">A </w:t>
      </w:r>
      <w:r w:rsidR="005D72AB">
        <w:rPr>
          <w:sz w:val="20"/>
        </w:rPr>
        <w:t>35</w:t>
      </w:r>
      <w:r w:rsidR="006561D5" w:rsidRPr="00FB02EF">
        <w:rPr>
          <w:sz w:val="20"/>
        </w:rPr>
        <w:t xml:space="preserve">% </w:t>
      </w:r>
      <w:r w:rsidR="00800FC5" w:rsidRPr="00FB02EF">
        <w:rPr>
          <w:sz w:val="20"/>
        </w:rPr>
        <w:t>shift</w:t>
      </w:r>
      <w:r w:rsidR="006561D5" w:rsidRPr="00FB02EF">
        <w:rPr>
          <w:sz w:val="20"/>
        </w:rPr>
        <w:t xml:space="preserve"> would be $</w:t>
      </w:r>
      <w:r w:rsidR="004D6079">
        <w:rPr>
          <w:sz w:val="20"/>
        </w:rPr>
        <w:t>33</w:t>
      </w:r>
      <w:r w:rsidR="004B3555">
        <w:rPr>
          <w:sz w:val="20"/>
        </w:rPr>
        <w:t>0,85</w:t>
      </w:r>
      <w:r w:rsidR="00F008C7">
        <w:rPr>
          <w:sz w:val="20"/>
        </w:rPr>
        <w:t>0</w:t>
      </w:r>
      <w:r w:rsidR="00800FC5" w:rsidRPr="00FB02EF">
        <w:rPr>
          <w:sz w:val="20"/>
        </w:rPr>
        <w:t xml:space="preserve"> exemption in value</w:t>
      </w:r>
      <w:r w:rsidR="006561D5" w:rsidRPr="00FB02EF">
        <w:rPr>
          <w:sz w:val="20"/>
        </w:rPr>
        <w:t xml:space="preserve">.  </w:t>
      </w:r>
      <w:r w:rsidRPr="00FB02EF">
        <w:rPr>
          <w:sz w:val="20"/>
        </w:rPr>
        <w:t xml:space="preserve">The Class </w:t>
      </w:r>
      <w:r w:rsidR="004E6DB7">
        <w:rPr>
          <w:sz w:val="20"/>
        </w:rPr>
        <w:t>1</w:t>
      </w:r>
      <w:r w:rsidRPr="00FB02EF">
        <w:rPr>
          <w:sz w:val="20"/>
        </w:rPr>
        <w:t>,</w:t>
      </w:r>
      <w:r w:rsidR="00DA391F" w:rsidRPr="00FB02EF">
        <w:rPr>
          <w:sz w:val="20"/>
        </w:rPr>
        <w:t xml:space="preserve"> </w:t>
      </w:r>
      <w:r w:rsidRPr="00FB02EF">
        <w:rPr>
          <w:sz w:val="20"/>
        </w:rPr>
        <w:t>residential tax rate associated with</w:t>
      </w:r>
      <w:r w:rsidR="00801167" w:rsidRPr="00FB02EF">
        <w:rPr>
          <w:sz w:val="20"/>
        </w:rPr>
        <w:t xml:space="preserve"> </w:t>
      </w:r>
      <w:r w:rsidR="008459A7">
        <w:rPr>
          <w:sz w:val="20"/>
        </w:rPr>
        <w:t>35</w:t>
      </w:r>
      <w:r w:rsidR="00801167" w:rsidRPr="00FB02EF">
        <w:rPr>
          <w:sz w:val="20"/>
        </w:rPr>
        <w:t xml:space="preserve">% exemption would </w:t>
      </w:r>
      <w:r w:rsidR="002C17C6" w:rsidRPr="00FB02EF">
        <w:rPr>
          <w:sz w:val="20"/>
        </w:rPr>
        <w:t>produce a class 1 tax rate of</w:t>
      </w:r>
      <w:r w:rsidR="00801167" w:rsidRPr="00FB02EF">
        <w:rPr>
          <w:sz w:val="20"/>
        </w:rPr>
        <w:t xml:space="preserve"> </w:t>
      </w:r>
      <w:r w:rsidR="00801167" w:rsidRPr="006C6A0B">
        <w:rPr>
          <w:sz w:val="20"/>
        </w:rPr>
        <w:t>$</w:t>
      </w:r>
      <w:r w:rsidR="0028198C">
        <w:rPr>
          <w:sz w:val="20"/>
        </w:rPr>
        <w:t>20.21</w:t>
      </w:r>
      <w:r w:rsidRPr="006C6A0B">
        <w:rPr>
          <w:sz w:val="20"/>
        </w:rPr>
        <w:t xml:space="preserve"> </w:t>
      </w:r>
      <w:r w:rsidR="006C6A0B">
        <w:rPr>
          <w:sz w:val="20"/>
        </w:rPr>
        <w:t>up</w:t>
      </w:r>
      <w:r w:rsidR="004E6DB7">
        <w:rPr>
          <w:sz w:val="20"/>
        </w:rPr>
        <w:t>,</w:t>
      </w:r>
      <w:r w:rsidR="006C6A0B">
        <w:rPr>
          <w:sz w:val="20"/>
        </w:rPr>
        <w:t xml:space="preserve"> $</w:t>
      </w:r>
      <w:r w:rsidR="008459A7">
        <w:rPr>
          <w:sz w:val="20"/>
        </w:rPr>
        <w:t>5.</w:t>
      </w:r>
      <w:r w:rsidR="0028198C">
        <w:rPr>
          <w:sz w:val="20"/>
        </w:rPr>
        <w:t>92</w:t>
      </w:r>
      <w:r w:rsidR="006C6A0B">
        <w:rPr>
          <w:sz w:val="20"/>
        </w:rPr>
        <w:t xml:space="preserve"> from the rate without the exemption.  Th</w:t>
      </w:r>
      <w:r w:rsidRPr="006C6A0B">
        <w:rPr>
          <w:sz w:val="20"/>
        </w:rPr>
        <w:t xml:space="preserve">e break-even point </w:t>
      </w:r>
      <w:r w:rsidR="006C6A0B">
        <w:rPr>
          <w:sz w:val="20"/>
        </w:rPr>
        <w:t>w</w:t>
      </w:r>
      <w:r w:rsidR="004E6DB7">
        <w:rPr>
          <w:sz w:val="20"/>
        </w:rPr>
        <w:t>h</w:t>
      </w:r>
      <w:r w:rsidR="006C6A0B">
        <w:rPr>
          <w:sz w:val="20"/>
        </w:rPr>
        <w:t xml:space="preserve">ere the rate increase and the exemption amount cross </w:t>
      </w:r>
      <w:r w:rsidRPr="006C6A0B">
        <w:rPr>
          <w:sz w:val="20"/>
        </w:rPr>
        <w:t>woul</w:t>
      </w:r>
      <w:r w:rsidR="00801167" w:rsidRPr="006C6A0B">
        <w:rPr>
          <w:sz w:val="20"/>
        </w:rPr>
        <w:t xml:space="preserve">d be on a </w:t>
      </w:r>
      <w:r w:rsidR="004507E8" w:rsidRPr="006C6A0B">
        <w:rPr>
          <w:sz w:val="20"/>
        </w:rPr>
        <w:t xml:space="preserve">residential parcel (land and buildings) </w:t>
      </w:r>
      <w:r w:rsidR="00801167" w:rsidRPr="006C6A0B">
        <w:rPr>
          <w:sz w:val="20"/>
        </w:rPr>
        <w:t>valued at $</w:t>
      </w:r>
      <w:r w:rsidR="006C6A0B" w:rsidRPr="006C6A0B">
        <w:rPr>
          <w:sz w:val="20"/>
        </w:rPr>
        <w:t>1,</w:t>
      </w:r>
      <w:r w:rsidR="00262B8E">
        <w:rPr>
          <w:sz w:val="20"/>
        </w:rPr>
        <w:t>1</w:t>
      </w:r>
      <w:r w:rsidR="0028198C">
        <w:rPr>
          <w:sz w:val="20"/>
        </w:rPr>
        <w:t>29,150</w:t>
      </w:r>
      <w:r w:rsidR="00CB5B13" w:rsidRPr="006C6A0B">
        <w:rPr>
          <w:sz w:val="20"/>
        </w:rPr>
        <w:t xml:space="preserve">.  </w:t>
      </w:r>
    </w:p>
    <w:p w:rsidR="009F7229" w:rsidRPr="00FE1A1A" w:rsidRDefault="009F7229">
      <w:pPr>
        <w:pStyle w:val="BodyText"/>
        <w:rPr>
          <w:sz w:val="20"/>
        </w:rPr>
      </w:pPr>
    </w:p>
    <w:p w:rsidR="00075565" w:rsidRDefault="00D550D0" w:rsidP="005B03C7">
      <w:pPr>
        <w:pStyle w:val="BodyText"/>
        <w:ind w:left="720" w:firstLine="720"/>
        <w:rPr>
          <w:sz w:val="20"/>
        </w:rPr>
      </w:pPr>
      <w:r w:rsidRPr="00FE1A1A">
        <w:rPr>
          <w:sz w:val="20"/>
        </w:rPr>
        <w:t>In FY</w:t>
      </w:r>
      <w:r w:rsidR="004A5913">
        <w:rPr>
          <w:sz w:val="20"/>
        </w:rPr>
        <w:t>201</w:t>
      </w:r>
      <w:r w:rsidR="0028198C">
        <w:rPr>
          <w:sz w:val="20"/>
        </w:rPr>
        <w:t>8</w:t>
      </w:r>
      <w:r w:rsidR="004A0796" w:rsidRPr="00FE1A1A">
        <w:rPr>
          <w:sz w:val="20"/>
        </w:rPr>
        <w:t xml:space="preserve"> there are </w:t>
      </w:r>
      <w:r w:rsidR="006C6A0B">
        <w:rPr>
          <w:sz w:val="20"/>
        </w:rPr>
        <w:t>5,</w:t>
      </w:r>
      <w:r w:rsidR="005E5C8F">
        <w:rPr>
          <w:sz w:val="20"/>
        </w:rPr>
        <w:t>94</w:t>
      </w:r>
      <w:r w:rsidR="0028198C">
        <w:rPr>
          <w:sz w:val="20"/>
        </w:rPr>
        <w:t>9</w:t>
      </w:r>
      <w:r w:rsidRPr="00FE1A1A">
        <w:rPr>
          <w:sz w:val="20"/>
        </w:rPr>
        <w:t xml:space="preserve"> </w:t>
      </w:r>
      <w:r w:rsidR="004E6DB7">
        <w:rPr>
          <w:sz w:val="20"/>
        </w:rPr>
        <w:t>C</w:t>
      </w:r>
      <w:r w:rsidRPr="00FE1A1A">
        <w:rPr>
          <w:sz w:val="20"/>
        </w:rPr>
        <w:t>lass 1 parcels</w:t>
      </w:r>
      <w:r w:rsidR="00CB5B13" w:rsidRPr="00FE1A1A">
        <w:rPr>
          <w:sz w:val="20"/>
        </w:rPr>
        <w:t xml:space="preserve">.  </w:t>
      </w:r>
      <w:r w:rsidR="004613CB" w:rsidRPr="00FE1A1A">
        <w:rPr>
          <w:sz w:val="20"/>
        </w:rPr>
        <w:t>Based on a “guesstimate” of eligibility, we estimate</w:t>
      </w:r>
      <w:r w:rsidR="001B4F65" w:rsidRPr="00FE1A1A">
        <w:rPr>
          <w:sz w:val="20"/>
        </w:rPr>
        <w:t xml:space="preserve"> </w:t>
      </w:r>
      <w:r w:rsidR="004613CB" w:rsidRPr="00FE1A1A">
        <w:rPr>
          <w:sz w:val="20"/>
        </w:rPr>
        <w:t xml:space="preserve">there are </w:t>
      </w:r>
      <w:r w:rsidR="006C6A0B">
        <w:rPr>
          <w:sz w:val="20"/>
        </w:rPr>
        <w:t>4,9</w:t>
      </w:r>
      <w:r w:rsidR="0028198C">
        <w:rPr>
          <w:sz w:val="20"/>
        </w:rPr>
        <w:t>81</w:t>
      </w:r>
      <w:r w:rsidR="009F7229" w:rsidRPr="00FE1A1A">
        <w:rPr>
          <w:sz w:val="20"/>
        </w:rPr>
        <w:t xml:space="preserve"> potentially eligible properties</w:t>
      </w:r>
      <w:r w:rsidR="00CB5B13" w:rsidRPr="00FE1A1A">
        <w:rPr>
          <w:sz w:val="20"/>
        </w:rPr>
        <w:t xml:space="preserve">.  </w:t>
      </w:r>
      <w:r w:rsidR="009F7229" w:rsidRPr="00FE1A1A">
        <w:rPr>
          <w:sz w:val="20"/>
        </w:rPr>
        <w:t>To determine the precise number of principal residences would require extensive review of the census, voting</w:t>
      </w:r>
      <w:r w:rsidR="001B4F65" w:rsidRPr="00FE1A1A">
        <w:rPr>
          <w:sz w:val="20"/>
        </w:rPr>
        <w:t>,</w:t>
      </w:r>
      <w:r w:rsidR="009F7229" w:rsidRPr="00FE1A1A">
        <w:rPr>
          <w:sz w:val="20"/>
        </w:rPr>
        <w:t xml:space="preserve"> </w:t>
      </w:r>
      <w:r w:rsidR="001B4F65" w:rsidRPr="00FE1A1A">
        <w:rPr>
          <w:sz w:val="20"/>
        </w:rPr>
        <w:t xml:space="preserve">and </w:t>
      </w:r>
      <w:r w:rsidR="009F7229" w:rsidRPr="00FE1A1A">
        <w:rPr>
          <w:sz w:val="20"/>
        </w:rPr>
        <w:t>utility records</w:t>
      </w:r>
      <w:r w:rsidR="001B4F65" w:rsidRPr="00FE1A1A">
        <w:rPr>
          <w:sz w:val="20"/>
        </w:rPr>
        <w:t>, car registrations and income tax returns</w:t>
      </w:r>
      <w:r w:rsidR="00CB5B13" w:rsidRPr="00FE1A1A">
        <w:rPr>
          <w:sz w:val="20"/>
        </w:rPr>
        <w:t xml:space="preserve">.  </w:t>
      </w:r>
      <w:r w:rsidR="009F7229" w:rsidRPr="00FE1A1A">
        <w:rPr>
          <w:sz w:val="20"/>
        </w:rPr>
        <w:t>To implement this exemption, the taxpayers would file an application</w:t>
      </w:r>
      <w:r w:rsidR="001B4F65" w:rsidRPr="00FE1A1A">
        <w:rPr>
          <w:sz w:val="20"/>
        </w:rPr>
        <w:t xml:space="preserve"> and include these documents</w:t>
      </w:r>
      <w:r w:rsidR="00CB5B13" w:rsidRPr="00FE1A1A">
        <w:rPr>
          <w:sz w:val="20"/>
        </w:rPr>
        <w:t xml:space="preserve">.  </w:t>
      </w:r>
      <w:r w:rsidR="00791194" w:rsidRPr="00FE1A1A">
        <w:rPr>
          <w:sz w:val="20"/>
        </w:rPr>
        <w:t xml:space="preserve">Their principal residence, </w:t>
      </w:r>
      <w:r w:rsidR="001B4F65" w:rsidRPr="00FE1A1A">
        <w:rPr>
          <w:sz w:val="20"/>
        </w:rPr>
        <w:t xml:space="preserve">indicated </w:t>
      </w:r>
      <w:r w:rsidR="00791194" w:rsidRPr="00FE1A1A">
        <w:rPr>
          <w:sz w:val="20"/>
        </w:rPr>
        <w:t xml:space="preserve">by </w:t>
      </w:r>
      <w:r w:rsidR="001B4F65" w:rsidRPr="00FE1A1A">
        <w:rPr>
          <w:sz w:val="20"/>
        </w:rPr>
        <w:t>using the above listed documents</w:t>
      </w:r>
      <w:r w:rsidR="00791194" w:rsidRPr="00FE1A1A">
        <w:rPr>
          <w:sz w:val="20"/>
        </w:rPr>
        <w:t>,</w:t>
      </w:r>
      <w:r w:rsidR="009F7229" w:rsidRPr="00FE1A1A">
        <w:rPr>
          <w:sz w:val="20"/>
        </w:rPr>
        <w:t xml:space="preserve"> would determine their eligibility</w:t>
      </w:r>
      <w:r w:rsidR="00CB5B13" w:rsidRPr="00FE1A1A">
        <w:rPr>
          <w:sz w:val="20"/>
        </w:rPr>
        <w:t xml:space="preserve">.  </w:t>
      </w:r>
      <w:r w:rsidR="001B4F65" w:rsidRPr="00FE1A1A">
        <w:rPr>
          <w:sz w:val="20"/>
        </w:rPr>
        <w:t>Based on the assumed eligible</w:t>
      </w:r>
      <w:r w:rsidR="001B2953" w:rsidRPr="00FE1A1A">
        <w:rPr>
          <w:sz w:val="20"/>
        </w:rPr>
        <w:t xml:space="preserve"> number of parcels, at least </w:t>
      </w:r>
      <w:r w:rsidR="0028198C">
        <w:rPr>
          <w:sz w:val="20"/>
        </w:rPr>
        <w:t>969</w:t>
      </w:r>
      <w:r w:rsidR="001B4F65" w:rsidRPr="00FE1A1A">
        <w:rPr>
          <w:sz w:val="20"/>
        </w:rPr>
        <w:t xml:space="preserve"> </w:t>
      </w:r>
      <w:r w:rsidR="0028198C">
        <w:rPr>
          <w:sz w:val="20"/>
        </w:rPr>
        <w:t xml:space="preserve">residential </w:t>
      </w:r>
      <w:r w:rsidR="001B4F65" w:rsidRPr="00FE1A1A">
        <w:rPr>
          <w:sz w:val="20"/>
        </w:rPr>
        <w:t xml:space="preserve">parcels would </w:t>
      </w:r>
      <w:r w:rsidR="0028198C">
        <w:rPr>
          <w:sz w:val="20"/>
        </w:rPr>
        <w:t xml:space="preserve">qualify for the exemption and </w:t>
      </w:r>
      <w:r w:rsidR="001B4F65" w:rsidRPr="00FE1A1A">
        <w:rPr>
          <w:sz w:val="20"/>
        </w:rPr>
        <w:t xml:space="preserve">experience </w:t>
      </w:r>
      <w:r w:rsidR="00A25300">
        <w:rPr>
          <w:sz w:val="20"/>
        </w:rPr>
        <w:t>an</w:t>
      </w:r>
      <w:r w:rsidR="00EB3230" w:rsidRPr="00FE1A1A">
        <w:rPr>
          <w:sz w:val="20"/>
        </w:rPr>
        <w:t xml:space="preserve"> increase in their taxes</w:t>
      </w:r>
      <w:r w:rsidR="0028198C">
        <w:rPr>
          <w:sz w:val="20"/>
        </w:rPr>
        <w:t>.</w:t>
      </w:r>
      <w:r w:rsidR="00A25300">
        <w:rPr>
          <w:sz w:val="20"/>
        </w:rPr>
        <w:t xml:space="preserve"> If the property did not qualify the reduction of $</w:t>
      </w:r>
      <w:r w:rsidR="003D65E4">
        <w:rPr>
          <w:sz w:val="20"/>
        </w:rPr>
        <w:t>3</w:t>
      </w:r>
      <w:r w:rsidR="0028198C">
        <w:rPr>
          <w:sz w:val="20"/>
        </w:rPr>
        <w:t>30,85</w:t>
      </w:r>
      <w:r w:rsidR="00262B8E">
        <w:rPr>
          <w:sz w:val="20"/>
        </w:rPr>
        <w:t>0</w:t>
      </w:r>
      <w:r w:rsidR="00A25300">
        <w:rPr>
          <w:sz w:val="20"/>
        </w:rPr>
        <w:t xml:space="preserve"> wouldn’t apply and in addition they would be taxed at </w:t>
      </w:r>
      <w:r w:rsidR="0028198C">
        <w:rPr>
          <w:sz w:val="20"/>
        </w:rPr>
        <w:t xml:space="preserve">the </w:t>
      </w:r>
      <w:r w:rsidR="00A25300">
        <w:rPr>
          <w:sz w:val="20"/>
        </w:rPr>
        <w:t>new rate of</w:t>
      </w:r>
      <w:r w:rsidR="00E232DF">
        <w:rPr>
          <w:sz w:val="20"/>
        </w:rPr>
        <w:t xml:space="preserve"> </w:t>
      </w:r>
      <w:r w:rsidR="00A25300">
        <w:rPr>
          <w:sz w:val="20"/>
        </w:rPr>
        <w:t>$</w:t>
      </w:r>
      <w:r w:rsidR="0028198C">
        <w:rPr>
          <w:sz w:val="20"/>
        </w:rPr>
        <w:t>20.21</w:t>
      </w:r>
      <w:r w:rsidR="00A963F3">
        <w:rPr>
          <w:sz w:val="20"/>
        </w:rPr>
        <w:t>.</w:t>
      </w:r>
      <w:r w:rsidR="00A25300">
        <w:rPr>
          <w:sz w:val="20"/>
        </w:rPr>
        <w:t xml:space="preserve">  A</w:t>
      </w:r>
      <w:r w:rsidR="00A963F3">
        <w:rPr>
          <w:sz w:val="20"/>
        </w:rPr>
        <w:t xml:space="preserve"> </w:t>
      </w:r>
      <w:r w:rsidR="00A25300">
        <w:rPr>
          <w:sz w:val="20"/>
        </w:rPr>
        <w:t xml:space="preserve"> $400,000 house that did not qualify for the exemption would have an annual tax bill </w:t>
      </w:r>
      <w:r w:rsidR="0028198C">
        <w:rPr>
          <w:sz w:val="20"/>
        </w:rPr>
        <w:t xml:space="preserve">shift or </w:t>
      </w:r>
      <w:r w:rsidR="00A25300">
        <w:rPr>
          <w:sz w:val="20"/>
        </w:rPr>
        <w:t>increase of $</w:t>
      </w:r>
      <w:r w:rsidR="003D65E4">
        <w:rPr>
          <w:sz w:val="20"/>
        </w:rPr>
        <w:t>2,3</w:t>
      </w:r>
      <w:r w:rsidR="0028198C">
        <w:rPr>
          <w:sz w:val="20"/>
        </w:rPr>
        <w:t>68</w:t>
      </w:r>
      <w:r w:rsidR="004E6DB7">
        <w:rPr>
          <w:sz w:val="20"/>
        </w:rPr>
        <w:t>.</w:t>
      </w:r>
    </w:p>
    <w:p w:rsidR="005B03C7" w:rsidRPr="00FE1A1A" w:rsidRDefault="005B03C7" w:rsidP="005B03C7">
      <w:pPr>
        <w:pStyle w:val="BodyText"/>
        <w:ind w:left="720" w:firstLine="720"/>
        <w:rPr>
          <w:sz w:val="20"/>
        </w:rPr>
      </w:pPr>
    </w:p>
    <w:p w:rsidR="00A25300" w:rsidRDefault="00EB3230" w:rsidP="00FF255F">
      <w:pPr>
        <w:pStyle w:val="BodyText"/>
        <w:ind w:left="720"/>
        <w:rPr>
          <w:sz w:val="20"/>
        </w:rPr>
      </w:pPr>
      <w:r w:rsidRPr="00FE1A1A">
        <w:rPr>
          <w:sz w:val="20"/>
        </w:rPr>
        <w:t xml:space="preserve">An </w:t>
      </w:r>
      <w:r w:rsidR="001B4F65" w:rsidRPr="00FE1A1A">
        <w:rPr>
          <w:sz w:val="20"/>
        </w:rPr>
        <w:t xml:space="preserve">additional </w:t>
      </w:r>
      <w:r w:rsidRPr="00FE1A1A">
        <w:rPr>
          <w:sz w:val="20"/>
        </w:rPr>
        <w:t>1</w:t>
      </w:r>
      <w:r w:rsidR="00C271AB">
        <w:rPr>
          <w:sz w:val="20"/>
        </w:rPr>
        <w:t>,</w:t>
      </w:r>
      <w:r w:rsidR="003D65E4">
        <w:rPr>
          <w:sz w:val="20"/>
        </w:rPr>
        <w:t>461</w:t>
      </w:r>
      <w:r w:rsidRPr="00FE1A1A">
        <w:rPr>
          <w:sz w:val="20"/>
        </w:rPr>
        <w:t xml:space="preserve"> (approximate) residential</w:t>
      </w:r>
      <w:r w:rsidR="00BA5993" w:rsidRPr="00FE1A1A">
        <w:rPr>
          <w:sz w:val="20"/>
        </w:rPr>
        <w:t xml:space="preserve"> </w:t>
      </w:r>
      <w:r w:rsidR="001B4F65" w:rsidRPr="00FE1A1A">
        <w:rPr>
          <w:sz w:val="20"/>
        </w:rPr>
        <w:t xml:space="preserve">properties </w:t>
      </w:r>
      <w:r w:rsidR="00FF255F" w:rsidRPr="00FE1A1A">
        <w:rPr>
          <w:sz w:val="20"/>
        </w:rPr>
        <w:t xml:space="preserve">(those over the break-even point) </w:t>
      </w:r>
      <w:r w:rsidR="001B4F65" w:rsidRPr="00FE1A1A">
        <w:rPr>
          <w:sz w:val="20"/>
        </w:rPr>
        <w:t>would experience an increase</w:t>
      </w:r>
      <w:r w:rsidR="00A25300">
        <w:rPr>
          <w:sz w:val="20"/>
        </w:rPr>
        <w:t>.  The following are examples of the increase.</w:t>
      </w:r>
    </w:p>
    <w:p w:rsidR="00196D2F" w:rsidRDefault="00196D2F" w:rsidP="00FF255F">
      <w:pPr>
        <w:pStyle w:val="BodyText"/>
        <w:ind w:left="720"/>
        <w:rPr>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8E0F48" w:rsidTr="00A420BF">
        <w:tc>
          <w:tcPr>
            <w:tcW w:w="2059" w:type="dxa"/>
            <w:shd w:val="clear" w:color="auto" w:fill="auto"/>
          </w:tcPr>
          <w:p w:rsidR="00196D2F" w:rsidRPr="00A420BF" w:rsidRDefault="00196D2F" w:rsidP="00A420BF">
            <w:pPr>
              <w:pStyle w:val="BodyText"/>
              <w:ind w:left="0"/>
              <w:rPr>
                <w:sz w:val="20"/>
              </w:rPr>
            </w:pPr>
            <w:r w:rsidRPr="00A420BF">
              <w:rPr>
                <w:sz w:val="20"/>
              </w:rPr>
              <w:t>Value</w:t>
            </w:r>
          </w:p>
        </w:tc>
        <w:tc>
          <w:tcPr>
            <w:tcW w:w="2059" w:type="dxa"/>
            <w:shd w:val="clear" w:color="auto" w:fill="auto"/>
          </w:tcPr>
          <w:p w:rsidR="00196D2F" w:rsidRPr="00A420BF" w:rsidRDefault="00241B62" w:rsidP="00A420BF">
            <w:pPr>
              <w:pStyle w:val="BodyText"/>
              <w:ind w:left="0"/>
              <w:rPr>
                <w:sz w:val="20"/>
              </w:rPr>
            </w:pPr>
            <w:r w:rsidRPr="00A420BF">
              <w:rPr>
                <w:sz w:val="20"/>
              </w:rPr>
              <w:t>No Shift</w:t>
            </w:r>
            <w:r w:rsidR="00F11664">
              <w:rPr>
                <w:sz w:val="20"/>
              </w:rPr>
              <w:t xml:space="preserve"> Tax</w:t>
            </w:r>
          </w:p>
        </w:tc>
        <w:tc>
          <w:tcPr>
            <w:tcW w:w="2059" w:type="dxa"/>
            <w:shd w:val="clear" w:color="auto" w:fill="auto"/>
          </w:tcPr>
          <w:p w:rsidR="00196D2F" w:rsidRPr="00A420BF" w:rsidRDefault="00241B62" w:rsidP="00A420BF">
            <w:pPr>
              <w:pStyle w:val="BodyText"/>
              <w:ind w:left="0"/>
              <w:rPr>
                <w:sz w:val="20"/>
              </w:rPr>
            </w:pPr>
            <w:r w:rsidRPr="00A420BF">
              <w:rPr>
                <w:sz w:val="20"/>
              </w:rPr>
              <w:t>Shift</w:t>
            </w:r>
            <w:r w:rsidR="00196D2F" w:rsidRPr="00A420BF">
              <w:rPr>
                <w:sz w:val="20"/>
              </w:rPr>
              <w:t xml:space="preserve"> Value</w:t>
            </w:r>
          </w:p>
        </w:tc>
        <w:tc>
          <w:tcPr>
            <w:tcW w:w="2059" w:type="dxa"/>
            <w:shd w:val="clear" w:color="auto" w:fill="auto"/>
          </w:tcPr>
          <w:p w:rsidR="00196D2F" w:rsidRPr="00A420BF" w:rsidRDefault="00241B62" w:rsidP="00A420BF">
            <w:pPr>
              <w:pStyle w:val="BodyText"/>
              <w:ind w:left="0"/>
              <w:rPr>
                <w:sz w:val="20"/>
              </w:rPr>
            </w:pPr>
            <w:r w:rsidRPr="00A420BF">
              <w:rPr>
                <w:sz w:val="20"/>
              </w:rPr>
              <w:t>Shift</w:t>
            </w:r>
            <w:r w:rsidR="00F11664">
              <w:rPr>
                <w:sz w:val="20"/>
              </w:rPr>
              <w:t xml:space="preserve"> Tax</w:t>
            </w:r>
          </w:p>
        </w:tc>
        <w:tc>
          <w:tcPr>
            <w:tcW w:w="2060" w:type="dxa"/>
            <w:shd w:val="clear" w:color="auto" w:fill="auto"/>
          </w:tcPr>
          <w:p w:rsidR="00196D2F" w:rsidRPr="00A420BF" w:rsidRDefault="00196D2F" w:rsidP="00A420BF">
            <w:pPr>
              <w:pStyle w:val="BodyText"/>
              <w:ind w:left="0"/>
              <w:rPr>
                <w:sz w:val="20"/>
              </w:rPr>
            </w:pPr>
            <w:r w:rsidRPr="00A420BF">
              <w:rPr>
                <w:sz w:val="20"/>
              </w:rPr>
              <w:t>Difference</w:t>
            </w:r>
          </w:p>
        </w:tc>
      </w:tr>
      <w:tr w:rsidR="008E0F48" w:rsidTr="00A420BF">
        <w:tc>
          <w:tcPr>
            <w:tcW w:w="2059" w:type="dxa"/>
            <w:shd w:val="clear" w:color="auto" w:fill="auto"/>
          </w:tcPr>
          <w:p w:rsidR="00196D2F" w:rsidRPr="00A420BF" w:rsidRDefault="00241B62" w:rsidP="00653C98">
            <w:pPr>
              <w:pStyle w:val="BodyText"/>
              <w:ind w:left="0"/>
              <w:rPr>
                <w:sz w:val="20"/>
              </w:rPr>
            </w:pPr>
            <w:r w:rsidRPr="00A420BF">
              <w:rPr>
                <w:color w:val="000000"/>
                <w:sz w:val="22"/>
                <w:szCs w:val="22"/>
              </w:rPr>
              <w:t>$</w:t>
            </w:r>
            <w:r w:rsidR="00684FC4">
              <w:rPr>
                <w:color w:val="000000"/>
                <w:sz w:val="22"/>
                <w:szCs w:val="22"/>
              </w:rPr>
              <w:t>1,</w:t>
            </w:r>
            <w:r w:rsidR="00D42E19">
              <w:rPr>
                <w:color w:val="000000"/>
                <w:sz w:val="22"/>
                <w:szCs w:val="22"/>
              </w:rPr>
              <w:t>12</w:t>
            </w:r>
            <w:r w:rsidR="00653C98">
              <w:rPr>
                <w:color w:val="000000"/>
                <w:sz w:val="22"/>
                <w:szCs w:val="22"/>
              </w:rPr>
              <w:t>9</w:t>
            </w:r>
            <w:r w:rsidR="00684FC4">
              <w:rPr>
                <w:color w:val="000000"/>
                <w:sz w:val="22"/>
                <w:szCs w:val="22"/>
              </w:rPr>
              <w:t>,</w:t>
            </w:r>
            <w:r w:rsidR="00653C98">
              <w:rPr>
                <w:color w:val="000000"/>
                <w:sz w:val="22"/>
                <w:szCs w:val="22"/>
              </w:rPr>
              <w:t>150</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241B62" w:rsidRPr="00A420BF">
              <w:rPr>
                <w:color w:val="000000"/>
                <w:sz w:val="22"/>
                <w:szCs w:val="22"/>
              </w:rPr>
              <w:t>1</w:t>
            </w:r>
            <w:r w:rsidR="00653C98">
              <w:rPr>
                <w:color w:val="000000"/>
                <w:sz w:val="22"/>
                <w:szCs w:val="22"/>
              </w:rPr>
              <w:t>6,135.55</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798,291</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16,135.64</w:t>
            </w:r>
          </w:p>
        </w:tc>
        <w:tc>
          <w:tcPr>
            <w:tcW w:w="2060"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0</w:t>
            </w:r>
            <w:r w:rsidR="00653C98">
              <w:rPr>
                <w:color w:val="000000"/>
                <w:sz w:val="22"/>
                <w:szCs w:val="22"/>
              </w:rPr>
              <w:t>0</w:t>
            </w:r>
            <w:r w:rsidR="00D42E19">
              <w:rPr>
                <w:color w:val="000000"/>
                <w:sz w:val="22"/>
                <w:szCs w:val="22"/>
              </w:rPr>
              <w:t>.0</w:t>
            </w:r>
            <w:r w:rsidR="00653C98">
              <w:rPr>
                <w:color w:val="000000"/>
                <w:sz w:val="22"/>
                <w:szCs w:val="22"/>
              </w:rPr>
              <w:t>9</w:t>
            </w:r>
          </w:p>
        </w:tc>
      </w:tr>
      <w:tr w:rsidR="008E0F48" w:rsidTr="00A420BF">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$1,</w:t>
            </w:r>
            <w:r w:rsidR="00D42E19">
              <w:rPr>
                <w:color w:val="000000"/>
                <w:sz w:val="22"/>
                <w:szCs w:val="22"/>
              </w:rPr>
              <w:t>5</w:t>
            </w:r>
            <w:r w:rsidR="00653C98">
              <w:rPr>
                <w:color w:val="000000"/>
                <w:sz w:val="22"/>
                <w:szCs w:val="22"/>
              </w:rPr>
              <w:t>51</w:t>
            </w:r>
            <w:r w:rsidR="00D42E19">
              <w:rPr>
                <w:color w:val="000000"/>
                <w:sz w:val="22"/>
                <w:szCs w:val="22"/>
              </w:rPr>
              <w:t>,</w:t>
            </w:r>
            <w:r w:rsidR="00653C98">
              <w:rPr>
                <w:color w:val="000000"/>
                <w:sz w:val="22"/>
                <w:szCs w:val="22"/>
              </w:rPr>
              <w:t>846</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16,459.88</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820,987</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16,594.39</w:t>
            </w:r>
          </w:p>
        </w:tc>
        <w:tc>
          <w:tcPr>
            <w:tcW w:w="2060"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134.51</w:t>
            </w:r>
          </w:p>
        </w:tc>
      </w:tr>
      <w:tr w:rsidR="008E0F48" w:rsidTr="00A420BF">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$2,</w:t>
            </w:r>
            <w:r w:rsidR="00F11664">
              <w:rPr>
                <w:color w:val="000000"/>
                <w:sz w:val="22"/>
                <w:szCs w:val="22"/>
              </w:rPr>
              <w:t>0</w:t>
            </w:r>
            <w:r w:rsidR="00653C98">
              <w:rPr>
                <w:color w:val="000000"/>
                <w:sz w:val="22"/>
                <w:szCs w:val="22"/>
              </w:rPr>
              <w:t>10</w:t>
            </w:r>
            <w:r w:rsidR="00D42E19">
              <w:rPr>
                <w:color w:val="000000"/>
                <w:sz w:val="22"/>
                <w:szCs w:val="22"/>
              </w:rPr>
              <w:t>,</w:t>
            </w:r>
            <w:r w:rsidR="00653C98">
              <w:rPr>
                <w:color w:val="000000"/>
                <w:sz w:val="22"/>
                <w:szCs w:val="22"/>
              </w:rPr>
              <w:t>904</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28,</w:t>
            </w:r>
            <w:r w:rsidR="00653C98">
              <w:rPr>
                <w:color w:val="000000"/>
                <w:sz w:val="22"/>
                <w:szCs w:val="22"/>
              </w:rPr>
              <w:t>735.82</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1</w:t>
            </w:r>
            <w:r w:rsidR="00D42E19">
              <w:rPr>
                <w:color w:val="000000"/>
                <w:sz w:val="22"/>
                <w:szCs w:val="22"/>
              </w:rPr>
              <w:t>,6</w:t>
            </w:r>
            <w:r w:rsidR="00653C98">
              <w:rPr>
                <w:color w:val="000000"/>
                <w:sz w:val="22"/>
                <w:szCs w:val="22"/>
              </w:rPr>
              <w:t>80,045</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3</w:t>
            </w:r>
            <w:r w:rsidR="00D42E19">
              <w:rPr>
                <w:color w:val="000000"/>
                <w:sz w:val="22"/>
                <w:szCs w:val="22"/>
              </w:rPr>
              <w:t>3,</w:t>
            </w:r>
            <w:r w:rsidR="00653C98">
              <w:rPr>
                <w:color w:val="000000"/>
                <w:sz w:val="22"/>
                <w:szCs w:val="22"/>
              </w:rPr>
              <w:t>958.30</w:t>
            </w:r>
          </w:p>
        </w:tc>
        <w:tc>
          <w:tcPr>
            <w:tcW w:w="2060" w:type="dxa"/>
            <w:shd w:val="clear" w:color="auto" w:fill="auto"/>
          </w:tcPr>
          <w:p w:rsidR="00196D2F" w:rsidRPr="00A420BF" w:rsidRDefault="002A3850" w:rsidP="00653C98">
            <w:pPr>
              <w:pStyle w:val="BodyText"/>
              <w:ind w:left="0"/>
              <w:rPr>
                <w:sz w:val="22"/>
                <w:szCs w:val="22"/>
              </w:rPr>
            </w:pPr>
            <w:r w:rsidRPr="00A420BF">
              <w:rPr>
                <w:sz w:val="22"/>
                <w:szCs w:val="22"/>
              </w:rPr>
              <w:t>$</w:t>
            </w:r>
            <w:r w:rsidR="00D42E19">
              <w:rPr>
                <w:sz w:val="22"/>
                <w:szCs w:val="22"/>
              </w:rPr>
              <w:t>5,2</w:t>
            </w:r>
            <w:r w:rsidR="00653C98">
              <w:rPr>
                <w:sz w:val="22"/>
                <w:szCs w:val="22"/>
              </w:rPr>
              <w:t>22</w:t>
            </w:r>
            <w:r w:rsidR="00D42E19">
              <w:rPr>
                <w:sz w:val="22"/>
                <w:szCs w:val="22"/>
              </w:rPr>
              <w:t>.4</w:t>
            </w:r>
            <w:r w:rsidR="00653C98">
              <w:rPr>
                <w:sz w:val="22"/>
                <w:szCs w:val="22"/>
              </w:rPr>
              <w:t>8</w:t>
            </w:r>
          </w:p>
        </w:tc>
      </w:tr>
      <w:tr w:rsidR="008E0F48" w:rsidTr="00A420BF">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2,503,004</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35,767.93</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2,1</w:t>
            </w:r>
            <w:r w:rsidR="00653C98">
              <w:rPr>
                <w:color w:val="000000"/>
                <w:sz w:val="22"/>
                <w:szCs w:val="22"/>
              </w:rPr>
              <w:t>72</w:t>
            </w:r>
            <w:r w:rsidR="00D42E19">
              <w:rPr>
                <w:color w:val="000000"/>
                <w:sz w:val="22"/>
                <w:szCs w:val="22"/>
              </w:rPr>
              <w:t>,</w:t>
            </w:r>
            <w:r w:rsidR="00653C98">
              <w:rPr>
                <w:color w:val="000000"/>
                <w:sz w:val="22"/>
                <w:szCs w:val="22"/>
              </w:rPr>
              <w:t>145</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43,</w:t>
            </w:r>
            <w:r w:rsidR="00653C98">
              <w:rPr>
                <w:color w:val="000000"/>
                <w:sz w:val="22"/>
                <w:szCs w:val="22"/>
              </w:rPr>
              <w:t>904.98</w:t>
            </w:r>
          </w:p>
        </w:tc>
        <w:tc>
          <w:tcPr>
            <w:tcW w:w="2060" w:type="dxa"/>
            <w:shd w:val="clear" w:color="auto" w:fill="auto"/>
          </w:tcPr>
          <w:p w:rsidR="00196D2F" w:rsidRPr="00A420BF" w:rsidRDefault="002A3850" w:rsidP="00653C98">
            <w:pPr>
              <w:pStyle w:val="BodyText"/>
              <w:ind w:left="0"/>
              <w:rPr>
                <w:sz w:val="20"/>
              </w:rPr>
            </w:pPr>
            <w:r w:rsidRPr="00A420BF">
              <w:rPr>
                <w:color w:val="000000"/>
                <w:sz w:val="22"/>
                <w:szCs w:val="22"/>
              </w:rPr>
              <w:t>$</w:t>
            </w:r>
            <w:r w:rsidR="00D42E19">
              <w:rPr>
                <w:color w:val="000000"/>
                <w:sz w:val="22"/>
                <w:szCs w:val="22"/>
              </w:rPr>
              <w:t>8,</w:t>
            </w:r>
            <w:r w:rsidR="00653C98">
              <w:rPr>
                <w:color w:val="000000"/>
                <w:sz w:val="22"/>
                <w:szCs w:val="22"/>
              </w:rPr>
              <w:t>137.06</w:t>
            </w:r>
          </w:p>
        </w:tc>
      </w:tr>
      <w:tr w:rsidR="008E0F48" w:rsidTr="00A420BF">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3</w:t>
            </w:r>
            <w:r w:rsidR="00D42E19">
              <w:rPr>
                <w:color w:val="000000"/>
                <w:sz w:val="22"/>
                <w:szCs w:val="22"/>
              </w:rPr>
              <w:t>,</w:t>
            </w:r>
            <w:r w:rsidR="00653C98">
              <w:rPr>
                <w:color w:val="000000"/>
                <w:sz w:val="22"/>
                <w:szCs w:val="22"/>
              </w:rPr>
              <w:t>023,902</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4</w:t>
            </w:r>
            <w:r w:rsidR="00653C98">
              <w:rPr>
                <w:color w:val="000000"/>
                <w:sz w:val="22"/>
                <w:szCs w:val="22"/>
              </w:rPr>
              <w:t>3</w:t>
            </w:r>
            <w:r w:rsidR="00D42E19">
              <w:rPr>
                <w:color w:val="000000"/>
                <w:sz w:val="22"/>
                <w:szCs w:val="22"/>
              </w:rPr>
              <w:t>,</w:t>
            </w:r>
            <w:r w:rsidR="00653C98">
              <w:rPr>
                <w:color w:val="000000"/>
                <w:sz w:val="22"/>
                <w:szCs w:val="22"/>
              </w:rPr>
              <w:t>211.55</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2,</w:t>
            </w:r>
            <w:r w:rsidR="00D42E19">
              <w:rPr>
                <w:color w:val="000000"/>
                <w:sz w:val="22"/>
                <w:szCs w:val="22"/>
              </w:rPr>
              <w:t>6</w:t>
            </w:r>
            <w:r w:rsidR="00653C98">
              <w:rPr>
                <w:color w:val="000000"/>
                <w:sz w:val="22"/>
                <w:szCs w:val="22"/>
              </w:rPr>
              <w:t>93,043</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5</w:t>
            </w:r>
            <w:r w:rsidR="00653C98">
              <w:rPr>
                <w:color w:val="000000"/>
                <w:sz w:val="22"/>
                <w:szCs w:val="22"/>
              </w:rPr>
              <w:t>4,433.74</w:t>
            </w:r>
          </w:p>
        </w:tc>
        <w:tc>
          <w:tcPr>
            <w:tcW w:w="2060"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11,</w:t>
            </w:r>
            <w:r w:rsidR="00653C98">
              <w:rPr>
                <w:color w:val="000000"/>
                <w:sz w:val="22"/>
                <w:szCs w:val="22"/>
              </w:rPr>
              <w:t>222.19</w:t>
            </w:r>
          </w:p>
        </w:tc>
      </w:tr>
      <w:tr w:rsidR="008E0F48" w:rsidTr="00A420BF">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4,0</w:t>
            </w:r>
            <w:r w:rsidR="00653C98">
              <w:rPr>
                <w:color w:val="000000"/>
                <w:sz w:val="22"/>
                <w:szCs w:val="22"/>
              </w:rPr>
              <w:t>35,408</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653C98">
              <w:rPr>
                <w:color w:val="000000"/>
                <w:sz w:val="22"/>
                <w:szCs w:val="22"/>
              </w:rPr>
              <w:t>57,665.98</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F11664">
              <w:rPr>
                <w:color w:val="000000"/>
                <w:sz w:val="22"/>
                <w:szCs w:val="22"/>
              </w:rPr>
              <w:t>3,</w:t>
            </w:r>
            <w:r w:rsidR="00653C98">
              <w:rPr>
                <w:color w:val="000000"/>
                <w:sz w:val="22"/>
                <w:szCs w:val="22"/>
              </w:rPr>
              <w:t>704</w:t>
            </w:r>
            <w:r w:rsidR="00D42E19">
              <w:rPr>
                <w:color w:val="000000"/>
                <w:sz w:val="22"/>
                <w:szCs w:val="22"/>
              </w:rPr>
              <w:t>,</w:t>
            </w:r>
            <w:r w:rsidR="00653C98">
              <w:rPr>
                <w:color w:val="000000"/>
                <w:sz w:val="22"/>
                <w:szCs w:val="22"/>
              </w:rPr>
              <w:t>549</w:t>
            </w:r>
          </w:p>
        </w:tc>
        <w:tc>
          <w:tcPr>
            <w:tcW w:w="2059"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7</w:t>
            </w:r>
            <w:r w:rsidR="00653C98">
              <w:rPr>
                <w:color w:val="000000"/>
                <w:sz w:val="22"/>
                <w:szCs w:val="22"/>
              </w:rPr>
              <w:t>4,879.06</w:t>
            </w:r>
          </w:p>
        </w:tc>
        <w:tc>
          <w:tcPr>
            <w:tcW w:w="2060" w:type="dxa"/>
            <w:shd w:val="clear" w:color="auto" w:fill="auto"/>
          </w:tcPr>
          <w:p w:rsidR="00196D2F" w:rsidRPr="00A420BF" w:rsidRDefault="00196D2F" w:rsidP="00653C98">
            <w:pPr>
              <w:pStyle w:val="BodyText"/>
              <w:ind w:left="0"/>
              <w:rPr>
                <w:sz w:val="20"/>
              </w:rPr>
            </w:pPr>
            <w:r w:rsidRPr="00A420BF">
              <w:rPr>
                <w:color w:val="000000"/>
                <w:sz w:val="22"/>
                <w:szCs w:val="22"/>
              </w:rPr>
              <w:t>$</w:t>
            </w:r>
            <w:r w:rsidR="00D42E19">
              <w:rPr>
                <w:color w:val="000000"/>
                <w:sz w:val="22"/>
                <w:szCs w:val="22"/>
              </w:rPr>
              <w:t>1</w:t>
            </w:r>
            <w:r w:rsidR="00653C98">
              <w:rPr>
                <w:color w:val="000000"/>
                <w:sz w:val="22"/>
                <w:szCs w:val="22"/>
              </w:rPr>
              <w:t>7,213.07</w:t>
            </w:r>
          </w:p>
        </w:tc>
      </w:tr>
      <w:tr w:rsidR="008E0F48" w:rsidTr="00A420BF">
        <w:tc>
          <w:tcPr>
            <w:tcW w:w="2059" w:type="dxa"/>
            <w:shd w:val="clear" w:color="auto" w:fill="auto"/>
          </w:tcPr>
          <w:p w:rsidR="00196D2F" w:rsidRPr="00A420BF" w:rsidRDefault="00196D2F" w:rsidP="008E0F48">
            <w:pPr>
              <w:pStyle w:val="BodyText"/>
              <w:ind w:left="0"/>
              <w:rPr>
                <w:sz w:val="20"/>
              </w:rPr>
            </w:pPr>
            <w:r w:rsidRPr="00A420BF">
              <w:rPr>
                <w:color w:val="000000"/>
                <w:sz w:val="22"/>
                <w:szCs w:val="22"/>
              </w:rPr>
              <w:t>$</w:t>
            </w:r>
            <w:r w:rsidR="00F11664">
              <w:rPr>
                <w:color w:val="000000"/>
                <w:sz w:val="22"/>
                <w:szCs w:val="22"/>
              </w:rPr>
              <w:t>5,</w:t>
            </w:r>
            <w:r w:rsidR="00D42E19">
              <w:rPr>
                <w:color w:val="000000"/>
                <w:sz w:val="22"/>
                <w:szCs w:val="22"/>
              </w:rPr>
              <w:t>0</w:t>
            </w:r>
            <w:r w:rsidR="008E0F48">
              <w:rPr>
                <w:color w:val="000000"/>
                <w:sz w:val="22"/>
                <w:szCs w:val="22"/>
              </w:rPr>
              <w:t>22</w:t>
            </w:r>
            <w:r w:rsidR="00D42E19">
              <w:rPr>
                <w:color w:val="000000"/>
                <w:sz w:val="22"/>
                <w:szCs w:val="22"/>
              </w:rPr>
              <w:t>,</w:t>
            </w:r>
            <w:r w:rsidR="008E0F48">
              <w:rPr>
                <w:color w:val="000000"/>
                <w:sz w:val="22"/>
                <w:szCs w:val="22"/>
              </w:rPr>
              <w:t>937</w:t>
            </w:r>
          </w:p>
        </w:tc>
        <w:tc>
          <w:tcPr>
            <w:tcW w:w="2059" w:type="dxa"/>
            <w:shd w:val="clear" w:color="auto" w:fill="auto"/>
          </w:tcPr>
          <w:p w:rsidR="00196D2F" w:rsidRPr="00A420BF" w:rsidRDefault="00196D2F" w:rsidP="008E0F48">
            <w:pPr>
              <w:pStyle w:val="BodyText"/>
              <w:ind w:left="0"/>
              <w:rPr>
                <w:sz w:val="20"/>
              </w:rPr>
            </w:pPr>
            <w:r w:rsidRPr="00A420BF">
              <w:rPr>
                <w:color w:val="000000"/>
                <w:sz w:val="22"/>
                <w:szCs w:val="22"/>
              </w:rPr>
              <w:t>$</w:t>
            </w:r>
            <w:r w:rsidR="00F11664">
              <w:rPr>
                <w:color w:val="000000"/>
                <w:sz w:val="22"/>
                <w:szCs w:val="22"/>
              </w:rPr>
              <w:t>7</w:t>
            </w:r>
            <w:r w:rsidR="008E0F48">
              <w:rPr>
                <w:color w:val="000000"/>
                <w:sz w:val="22"/>
                <w:szCs w:val="22"/>
              </w:rPr>
              <w:t>1,777.77</w:t>
            </w:r>
          </w:p>
        </w:tc>
        <w:tc>
          <w:tcPr>
            <w:tcW w:w="2059" w:type="dxa"/>
            <w:shd w:val="clear" w:color="auto" w:fill="auto"/>
          </w:tcPr>
          <w:p w:rsidR="00196D2F" w:rsidRPr="00A420BF" w:rsidRDefault="00196D2F" w:rsidP="008E0F48">
            <w:pPr>
              <w:pStyle w:val="BodyText"/>
              <w:ind w:left="0"/>
              <w:rPr>
                <w:sz w:val="20"/>
              </w:rPr>
            </w:pPr>
            <w:r w:rsidRPr="00A420BF">
              <w:rPr>
                <w:color w:val="000000"/>
                <w:sz w:val="22"/>
                <w:szCs w:val="22"/>
              </w:rPr>
              <w:t>$</w:t>
            </w:r>
            <w:r w:rsidR="00D42E19">
              <w:rPr>
                <w:color w:val="000000"/>
                <w:sz w:val="22"/>
                <w:szCs w:val="22"/>
              </w:rPr>
              <w:t>4,6</w:t>
            </w:r>
            <w:r w:rsidR="008E0F48">
              <w:rPr>
                <w:color w:val="000000"/>
                <w:sz w:val="22"/>
                <w:szCs w:val="22"/>
              </w:rPr>
              <w:t>92,078</w:t>
            </w:r>
          </w:p>
        </w:tc>
        <w:tc>
          <w:tcPr>
            <w:tcW w:w="2059" w:type="dxa"/>
            <w:shd w:val="clear" w:color="auto" w:fill="auto"/>
          </w:tcPr>
          <w:p w:rsidR="00196D2F" w:rsidRPr="00A420BF" w:rsidRDefault="00196D2F" w:rsidP="008E0F48">
            <w:pPr>
              <w:pStyle w:val="BodyText"/>
              <w:ind w:left="0"/>
              <w:rPr>
                <w:sz w:val="20"/>
              </w:rPr>
            </w:pPr>
            <w:r w:rsidRPr="00A420BF">
              <w:rPr>
                <w:color w:val="000000"/>
                <w:sz w:val="22"/>
                <w:szCs w:val="22"/>
              </w:rPr>
              <w:t>$</w:t>
            </w:r>
            <w:r w:rsidR="00D42E19">
              <w:rPr>
                <w:color w:val="000000"/>
                <w:sz w:val="22"/>
                <w:szCs w:val="22"/>
              </w:rPr>
              <w:t>9</w:t>
            </w:r>
            <w:r w:rsidR="008E0F48">
              <w:rPr>
                <w:color w:val="000000"/>
                <w:sz w:val="22"/>
                <w:szCs w:val="22"/>
              </w:rPr>
              <w:t>4,839.71</w:t>
            </w:r>
          </w:p>
        </w:tc>
        <w:tc>
          <w:tcPr>
            <w:tcW w:w="2060" w:type="dxa"/>
            <w:shd w:val="clear" w:color="auto" w:fill="auto"/>
          </w:tcPr>
          <w:p w:rsidR="00196D2F" w:rsidRPr="00A420BF" w:rsidRDefault="00196D2F" w:rsidP="008E0F48">
            <w:pPr>
              <w:pStyle w:val="BodyText"/>
              <w:ind w:left="0"/>
              <w:rPr>
                <w:sz w:val="20"/>
              </w:rPr>
            </w:pPr>
            <w:r w:rsidRPr="00A420BF">
              <w:rPr>
                <w:color w:val="000000"/>
                <w:sz w:val="22"/>
                <w:szCs w:val="22"/>
              </w:rPr>
              <w:t>$</w:t>
            </w:r>
            <w:r w:rsidR="00D42E19">
              <w:rPr>
                <w:color w:val="000000"/>
                <w:sz w:val="22"/>
                <w:szCs w:val="22"/>
              </w:rPr>
              <w:t>2</w:t>
            </w:r>
            <w:r w:rsidR="008E0F48">
              <w:rPr>
                <w:color w:val="000000"/>
                <w:sz w:val="22"/>
                <w:szCs w:val="22"/>
              </w:rPr>
              <w:t>3,061.94</w:t>
            </w:r>
          </w:p>
        </w:tc>
      </w:tr>
    </w:tbl>
    <w:p w:rsidR="00196D2F" w:rsidRDefault="00196D2F" w:rsidP="00FF255F">
      <w:pPr>
        <w:pStyle w:val="BodyText"/>
        <w:ind w:left="720"/>
        <w:rPr>
          <w:sz w:val="20"/>
        </w:rPr>
      </w:pPr>
    </w:p>
    <w:tbl>
      <w:tblPr>
        <w:tblW w:w="7620" w:type="dxa"/>
        <w:tblInd w:w="93" w:type="dxa"/>
        <w:tblLook w:val="04A0" w:firstRow="1" w:lastRow="0" w:firstColumn="1" w:lastColumn="0" w:noHBand="0" w:noVBand="1"/>
      </w:tblPr>
      <w:tblGrid>
        <w:gridCol w:w="1660"/>
        <w:gridCol w:w="1400"/>
        <w:gridCol w:w="1220"/>
        <w:gridCol w:w="1720"/>
        <w:gridCol w:w="1620"/>
      </w:tblGrid>
      <w:tr w:rsidR="00241B62" w:rsidRPr="00241B62" w:rsidTr="00241B62">
        <w:trPr>
          <w:trHeight w:val="288"/>
        </w:trPr>
        <w:tc>
          <w:tcPr>
            <w:tcW w:w="1660" w:type="dxa"/>
            <w:tcBorders>
              <w:top w:val="nil"/>
              <w:left w:val="nil"/>
              <w:bottom w:val="nil"/>
              <w:right w:val="nil"/>
            </w:tcBorders>
            <w:shd w:val="clear" w:color="auto" w:fill="auto"/>
            <w:noWrap/>
            <w:vAlign w:val="bottom"/>
          </w:tcPr>
          <w:p w:rsidR="00241B62" w:rsidRPr="00241B62" w:rsidRDefault="00241B62" w:rsidP="00241B62">
            <w:pPr>
              <w:jc w:val="right"/>
              <w:rPr>
                <w:rFonts w:ascii="Calibri" w:hAnsi="Calibri"/>
                <w:color w:val="000000"/>
                <w:sz w:val="22"/>
                <w:szCs w:val="22"/>
              </w:rPr>
            </w:pPr>
          </w:p>
        </w:tc>
        <w:tc>
          <w:tcPr>
            <w:tcW w:w="1400" w:type="dxa"/>
            <w:tcBorders>
              <w:top w:val="nil"/>
              <w:left w:val="nil"/>
              <w:bottom w:val="nil"/>
              <w:right w:val="nil"/>
            </w:tcBorders>
            <w:shd w:val="clear" w:color="auto" w:fill="auto"/>
            <w:noWrap/>
            <w:vAlign w:val="bottom"/>
          </w:tcPr>
          <w:p w:rsidR="00241B62" w:rsidRPr="00241B62" w:rsidRDefault="00241B62" w:rsidP="00241B62">
            <w:pPr>
              <w:jc w:val="right"/>
              <w:rPr>
                <w:rFonts w:ascii="Calibri" w:hAnsi="Calibri"/>
                <w:color w:val="000000"/>
                <w:sz w:val="22"/>
                <w:szCs w:val="22"/>
              </w:rPr>
            </w:pPr>
          </w:p>
        </w:tc>
        <w:tc>
          <w:tcPr>
            <w:tcW w:w="1220" w:type="dxa"/>
            <w:tcBorders>
              <w:top w:val="nil"/>
              <w:left w:val="nil"/>
              <w:bottom w:val="nil"/>
              <w:right w:val="nil"/>
            </w:tcBorders>
            <w:shd w:val="clear" w:color="auto" w:fill="auto"/>
            <w:noWrap/>
            <w:vAlign w:val="bottom"/>
          </w:tcPr>
          <w:p w:rsidR="00241B62" w:rsidRPr="00241B62" w:rsidRDefault="00241B62" w:rsidP="00241B62">
            <w:pPr>
              <w:jc w:val="right"/>
              <w:rPr>
                <w:rFonts w:ascii="Calibri" w:hAnsi="Calibri"/>
                <w:color w:val="000000"/>
                <w:sz w:val="22"/>
                <w:szCs w:val="22"/>
              </w:rPr>
            </w:pPr>
          </w:p>
        </w:tc>
        <w:tc>
          <w:tcPr>
            <w:tcW w:w="1720" w:type="dxa"/>
            <w:tcBorders>
              <w:top w:val="nil"/>
              <w:left w:val="nil"/>
              <w:bottom w:val="nil"/>
              <w:right w:val="nil"/>
            </w:tcBorders>
            <w:shd w:val="clear" w:color="auto" w:fill="auto"/>
            <w:noWrap/>
            <w:vAlign w:val="bottom"/>
          </w:tcPr>
          <w:p w:rsidR="00241B62" w:rsidRPr="00241B62" w:rsidRDefault="00241B62" w:rsidP="00241B62">
            <w:pPr>
              <w:jc w:val="right"/>
              <w:rPr>
                <w:rFonts w:ascii="Calibri" w:hAnsi="Calibri"/>
                <w:color w:val="000000"/>
                <w:sz w:val="22"/>
                <w:szCs w:val="22"/>
              </w:rPr>
            </w:pPr>
          </w:p>
        </w:tc>
        <w:tc>
          <w:tcPr>
            <w:tcW w:w="1620" w:type="dxa"/>
            <w:tcBorders>
              <w:top w:val="nil"/>
              <w:left w:val="nil"/>
              <w:bottom w:val="nil"/>
              <w:right w:val="nil"/>
            </w:tcBorders>
            <w:shd w:val="clear" w:color="auto" w:fill="auto"/>
            <w:noWrap/>
            <w:vAlign w:val="bottom"/>
          </w:tcPr>
          <w:p w:rsidR="00241B62" w:rsidRPr="00241B62" w:rsidRDefault="00241B62" w:rsidP="00241B62">
            <w:pPr>
              <w:jc w:val="right"/>
              <w:rPr>
                <w:rFonts w:ascii="Calibri" w:hAnsi="Calibri"/>
                <w:color w:val="000000"/>
                <w:sz w:val="22"/>
                <w:szCs w:val="22"/>
              </w:rPr>
            </w:pPr>
          </w:p>
        </w:tc>
      </w:tr>
    </w:tbl>
    <w:p w:rsidR="001B4F65" w:rsidRPr="00FE1A1A" w:rsidRDefault="001B4F65">
      <w:pPr>
        <w:pStyle w:val="BodyText"/>
        <w:ind w:left="720" w:firstLine="720"/>
        <w:rPr>
          <w:sz w:val="20"/>
        </w:rPr>
      </w:pPr>
    </w:p>
    <w:p w:rsidR="009C6D1C" w:rsidRPr="00FE1A1A" w:rsidRDefault="009C6D1C">
      <w:pPr>
        <w:pStyle w:val="BodyText"/>
        <w:ind w:left="720" w:firstLine="720"/>
        <w:rPr>
          <w:sz w:val="20"/>
        </w:rPr>
      </w:pPr>
      <w:r w:rsidRPr="00FE1A1A">
        <w:rPr>
          <w:sz w:val="20"/>
        </w:rPr>
        <w:t xml:space="preserve">This </w:t>
      </w:r>
      <w:r w:rsidR="00EB3230" w:rsidRPr="00FE1A1A">
        <w:rPr>
          <w:sz w:val="20"/>
        </w:rPr>
        <w:t>option</w:t>
      </w:r>
      <w:r w:rsidRPr="00FE1A1A">
        <w:rPr>
          <w:sz w:val="20"/>
        </w:rPr>
        <w:t xml:space="preserve"> is based on the assumption that a lower value property indicates an occupant with lower income and vice versa.  In recent years the Board of Assessors has examined this provision in detail and has continued to recommend against its adoption.  The FY</w:t>
      </w:r>
      <w:r w:rsidR="004A5913">
        <w:rPr>
          <w:sz w:val="20"/>
        </w:rPr>
        <w:t>201</w:t>
      </w:r>
      <w:r w:rsidR="00640208">
        <w:rPr>
          <w:sz w:val="20"/>
        </w:rPr>
        <w:t>8</w:t>
      </w:r>
      <w:r w:rsidRPr="00FE1A1A">
        <w:rPr>
          <w:sz w:val="20"/>
        </w:rPr>
        <w:t xml:space="preserve"> data do</w:t>
      </w:r>
      <w:r w:rsidR="00C271AB">
        <w:rPr>
          <w:sz w:val="20"/>
        </w:rPr>
        <w:t>es</w:t>
      </w:r>
      <w:r w:rsidRPr="00FE1A1A">
        <w:rPr>
          <w:sz w:val="20"/>
        </w:rPr>
        <w:t xml:space="preserve"> not indicate any change that would result in a different conclusion.</w:t>
      </w:r>
    </w:p>
    <w:p w:rsidR="009C6D1C" w:rsidRPr="00FE1A1A" w:rsidRDefault="009C6D1C">
      <w:pPr>
        <w:pStyle w:val="BodyText"/>
        <w:ind w:left="720" w:firstLine="720"/>
        <w:rPr>
          <w:sz w:val="20"/>
        </w:rPr>
      </w:pPr>
    </w:p>
    <w:p w:rsidR="0047594F" w:rsidRPr="00FE1A1A" w:rsidRDefault="001B4F65" w:rsidP="0047594F">
      <w:pPr>
        <w:pStyle w:val="BodyText"/>
        <w:ind w:left="720" w:firstLine="720"/>
        <w:rPr>
          <w:sz w:val="20"/>
        </w:rPr>
      </w:pPr>
      <w:r w:rsidRPr="00FE1A1A">
        <w:rPr>
          <w:sz w:val="20"/>
        </w:rPr>
        <w:t xml:space="preserve">Only </w:t>
      </w:r>
      <w:r w:rsidR="00BA5993" w:rsidRPr="00FE1A1A">
        <w:rPr>
          <w:sz w:val="20"/>
        </w:rPr>
        <w:t>fourteen</w:t>
      </w:r>
      <w:r w:rsidR="0047594F" w:rsidRPr="00FE1A1A">
        <w:rPr>
          <w:sz w:val="20"/>
        </w:rPr>
        <w:t xml:space="preserve"> cities and towns in the Commonwealth u</w:t>
      </w:r>
      <w:r w:rsidRPr="00FE1A1A">
        <w:rPr>
          <w:sz w:val="20"/>
        </w:rPr>
        <w:t>s</w:t>
      </w:r>
      <w:r w:rsidR="0047594F" w:rsidRPr="00FE1A1A">
        <w:rPr>
          <w:sz w:val="20"/>
        </w:rPr>
        <w:t>e the residential exemption</w:t>
      </w:r>
      <w:r w:rsidR="00CB5B13" w:rsidRPr="00FE1A1A">
        <w:rPr>
          <w:sz w:val="20"/>
        </w:rPr>
        <w:t xml:space="preserve">.  </w:t>
      </w:r>
      <w:r w:rsidR="008E568B" w:rsidRPr="00FE1A1A">
        <w:rPr>
          <w:sz w:val="20"/>
        </w:rPr>
        <w:t>Two</w:t>
      </w:r>
      <w:r w:rsidRPr="00FE1A1A">
        <w:rPr>
          <w:sz w:val="20"/>
        </w:rPr>
        <w:t xml:space="preserve"> communities joined </w:t>
      </w:r>
      <w:r w:rsidR="008E568B" w:rsidRPr="00FE1A1A">
        <w:rPr>
          <w:sz w:val="20"/>
        </w:rPr>
        <w:t xml:space="preserve">in FY2006, </w:t>
      </w:r>
      <w:smartTag w:uri="urn:schemas-microsoft-com:office:smarttags" w:element="City">
        <w:r w:rsidR="008E568B" w:rsidRPr="00FE1A1A">
          <w:rPr>
            <w:sz w:val="20"/>
          </w:rPr>
          <w:t>Everett</w:t>
        </w:r>
      </w:smartTag>
      <w:r w:rsidR="008E568B" w:rsidRPr="00FE1A1A">
        <w:rPr>
          <w:sz w:val="20"/>
        </w:rPr>
        <w:t xml:space="preserve"> and </w:t>
      </w:r>
      <w:smartTag w:uri="urn:schemas-microsoft-com:office:smarttags" w:element="place">
        <w:smartTag w:uri="urn:schemas-microsoft-com:office:smarttags" w:element="City">
          <w:r w:rsidR="008E568B" w:rsidRPr="00FE1A1A">
            <w:rPr>
              <w:sz w:val="20"/>
            </w:rPr>
            <w:t>Barnstable</w:t>
          </w:r>
        </w:smartTag>
      </w:smartTag>
      <w:r w:rsidR="00BA5993" w:rsidRPr="00FE1A1A">
        <w:rPr>
          <w:sz w:val="20"/>
        </w:rPr>
        <w:t>.</w:t>
      </w:r>
      <w:r w:rsidR="00CB5B13" w:rsidRPr="00FE1A1A">
        <w:rPr>
          <w:sz w:val="20"/>
        </w:rPr>
        <w:t xml:space="preserve">  </w:t>
      </w:r>
      <w:r w:rsidR="008E568B" w:rsidRPr="00FE1A1A">
        <w:rPr>
          <w:sz w:val="20"/>
        </w:rPr>
        <w:t xml:space="preserve">Otherwise, </w:t>
      </w:r>
      <w:r w:rsidRPr="00FE1A1A">
        <w:rPr>
          <w:sz w:val="20"/>
        </w:rPr>
        <w:t xml:space="preserve">this list </w:t>
      </w:r>
      <w:r w:rsidR="008E568B" w:rsidRPr="00FE1A1A">
        <w:rPr>
          <w:sz w:val="20"/>
        </w:rPr>
        <w:t>ha</w:t>
      </w:r>
      <w:r w:rsidR="0006106D">
        <w:rPr>
          <w:sz w:val="20"/>
        </w:rPr>
        <w:t>s</w:t>
      </w:r>
      <w:r w:rsidR="008E568B" w:rsidRPr="00FE1A1A">
        <w:rPr>
          <w:sz w:val="20"/>
        </w:rPr>
        <w:t xml:space="preserve">n’t changed </w:t>
      </w:r>
      <w:r w:rsidRPr="00FE1A1A">
        <w:rPr>
          <w:sz w:val="20"/>
        </w:rPr>
        <w:t>in many years</w:t>
      </w:r>
      <w:r w:rsidR="00CB5B13" w:rsidRPr="00FE1A1A">
        <w:rPr>
          <w:sz w:val="20"/>
        </w:rPr>
        <w:t xml:space="preserve">.  </w:t>
      </w:r>
      <w:r w:rsidR="0047594F" w:rsidRPr="00FE1A1A">
        <w:rPr>
          <w:sz w:val="20"/>
        </w:rPr>
        <w:t>In larger metropolitan communities</w:t>
      </w:r>
      <w:r w:rsidR="004E6F04" w:rsidRPr="00FE1A1A">
        <w:rPr>
          <w:sz w:val="20"/>
        </w:rPr>
        <w:t xml:space="preserve">, </w:t>
      </w:r>
      <w:r w:rsidR="0047594F" w:rsidRPr="00FE1A1A">
        <w:rPr>
          <w:sz w:val="20"/>
        </w:rPr>
        <w:t xml:space="preserve">the large apartment population </w:t>
      </w:r>
      <w:r w:rsidR="002C17C6" w:rsidRPr="00FE1A1A">
        <w:rPr>
          <w:sz w:val="20"/>
        </w:rPr>
        <w:t xml:space="preserve">essentially </w:t>
      </w:r>
      <w:r w:rsidR="0047594F" w:rsidRPr="00FE1A1A">
        <w:rPr>
          <w:sz w:val="20"/>
        </w:rPr>
        <w:t>funds the exemption</w:t>
      </w:r>
      <w:r w:rsidR="00987663" w:rsidRPr="00FE1A1A">
        <w:rPr>
          <w:sz w:val="20"/>
        </w:rPr>
        <w:t xml:space="preserve"> (Boston, Brookline, Cambridge, Chelsea, </w:t>
      </w:r>
      <w:r w:rsidR="00BA5993" w:rsidRPr="00FE1A1A">
        <w:rPr>
          <w:sz w:val="20"/>
        </w:rPr>
        <w:t xml:space="preserve">Everett, Malden, </w:t>
      </w:r>
      <w:r w:rsidR="00987663" w:rsidRPr="00FE1A1A">
        <w:rPr>
          <w:sz w:val="20"/>
        </w:rPr>
        <w:t xml:space="preserve">Marlborough, Somerville, </w:t>
      </w:r>
      <w:r w:rsidR="006561D5" w:rsidRPr="00FE1A1A">
        <w:rPr>
          <w:sz w:val="20"/>
        </w:rPr>
        <w:t>Waltham</w:t>
      </w:r>
      <w:r w:rsidR="00987663" w:rsidRPr="00FE1A1A">
        <w:rPr>
          <w:sz w:val="20"/>
        </w:rPr>
        <w:t>, Watertown</w:t>
      </w:r>
      <w:r w:rsidR="00FC369F" w:rsidRPr="00FE1A1A">
        <w:rPr>
          <w:sz w:val="20"/>
        </w:rPr>
        <w:t>);</w:t>
      </w:r>
      <w:r w:rsidR="00987663" w:rsidRPr="00FE1A1A">
        <w:rPr>
          <w:sz w:val="20"/>
        </w:rPr>
        <w:t xml:space="preserve"> </w:t>
      </w:r>
      <w:r w:rsidR="0047594F" w:rsidRPr="00FE1A1A">
        <w:rPr>
          <w:sz w:val="20"/>
        </w:rPr>
        <w:t>in resort communities</w:t>
      </w:r>
      <w:r w:rsidR="00FC369F" w:rsidRPr="00FE1A1A">
        <w:rPr>
          <w:sz w:val="20"/>
        </w:rPr>
        <w:t>,</w:t>
      </w:r>
      <w:r w:rsidR="0047594F" w:rsidRPr="00FE1A1A">
        <w:rPr>
          <w:sz w:val="20"/>
        </w:rPr>
        <w:t xml:space="preserve"> the second home</w:t>
      </w:r>
      <w:r w:rsidR="00987663" w:rsidRPr="00FE1A1A">
        <w:rPr>
          <w:sz w:val="20"/>
        </w:rPr>
        <w:t xml:space="preserve"> population funds the exemption</w:t>
      </w:r>
      <w:r w:rsidR="00791194" w:rsidRPr="00FE1A1A">
        <w:rPr>
          <w:sz w:val="20"/>
        </w:rPr>
        <w:t xml:space="preserve"> (</w:t>
      </w:r>
      <w:r w:rsidR="008E568B" w:rsidRPr="00FE1A1A">
        <w:rPr>
          <w:sz w:val="20"/>
        </w:rPr>
        <w:t xml:space="preserve">Barnstable, </w:t>
      </w:r>
      <w:r w:rsidR="00791194" w:rsidRPr="00FE1A1A">
        <w:rPr>
          <w:sz w:val="20"/>
        </w:rPr>
        <w:t>Nantucket, Tisbury)</w:t>
      </w:r>
      <w:r w:rsidR="00FC369F" w:rsidRPr="00FE1A1A">
        <w:rPr>
          <w:sz w:val="20"/>
        </w:rPr>
        <w:t>;</w:t>
      </w:r>
      <w:r w:rsidR="00987663" w:rsidRPr="00FE1A1A">
        <w:rPr>
          <w:sz w:val="20"/>
        </w:rPr>
        <w:t xml:space="preserve"> and in one community</w:t>
      </w:r>
      <w:r w:rsidR="00FC369F" w:rsidRPr="00FE1A1A">
        <w:rPr>
          <w:sz w:val="20"/>
        </w:rPr>
        <w:t>,</w:t>
      </w:r>
      <w:r w:rsidR="00987663" w:rsidRPr="00FE1A1A">
        <w:rPr>
          <w:sz w:val="20"/>
        </w:rPr>
        <w:t xml:space="preserve"> the power plant funds </w:t>
      </w:r>
      <w:r w:rsidR="00BA5993" w:rsidRPr="00FE1A1A">
        <w:rPr>
          <w:sz w:val="20"/>
        </w:rPr>
        <w:t xml:space="preserve">over </w:t>
      </w:r>
      <w:r w:rsidR="00987663" w:rsidRPr="00FE1A1A">
        <w:rPr>
          <w:sz w:val="20"/>
        </w:rPr>
        <w:t>half of the total levy</w:t>
      </w:r>
      <w:r w:rsidR="00791194" w:rsidRPr="00FE1A1A">
        <w:rPr>
          <w:sz w:val="20"/>
        </w:rPr>
        <w:t xml:space="preserve"> (Somerset)</w:t>
      </w:r>
      <w:r w:rsidR="00CB5B13" w:rsidRPr="00FE1A1A">
        <w:rPr>
          <w:sz w:val="20"/>
        </w:rPr>
        <w:t xml:space="preserve">.  </w:t>
      </w:r>
      <w:r w:rsidR="00BA5993" w:rsidRPr="00FE1A1A">
        <w:rPr>
          <w:sz w:val="20"/>
        </w:rPr>
        <w:t xml:space="preserve">Thirteen of the fourteen </w:t>
      </w:r>
      <w:r w:rsidR="00987663" w:rsidRPr="00FE1A1A">
        <w:rPr>
          <w:sz w:val="20"/>
        </w:rPr>
        <w:t xml:space="preserve">communities also </w:t>
      </w:r>
      <w:r w:rsidR="00AA16C2" w:rsidRPr="00FE1A1A">
        <w:rPr>
          <w:sz w:val="20"/>
        </w:rPr>
        <w:t>use the CIP tax shift essentially to the fullest degree they can</w:t>
      </w:r>
      <w:r w:rsidR="00791194" w:rsidRPr="00FE1A1A">
        <w:rPr>
          <w:sz w:val="20"/>
        </w:rPr>
        <w:t>, which means</w:t>
      </w:r>
      <w:r w:rsidR="00762151" w:rsidRPr="00FE1A1A">
        <w:rPr>
          <w:sz w:val="20"/>
        </w:rPr>
        <w:t xml:space="preserve"> the commercial, industrial, </w:t>
      </w:r>
      <w:r w:rsidR="0024344B" w:rsidRPr="00FE1A1A">
        <w:rPr>
          <w:sz w:val="20"/>
        </w:rPr>
        <w:t xml:space="preserve">and </w:t>
      </w:r>
      <w:r w:rsidR="00762151" w:rsidRPr="00FE1A1A">
        <w:rPr>
          <w:sz w:val="20"/>
        </w:rPr>
        <w:t xml:space="preserve">personal property classes are also </w:t>
      </w:r>
      <w:r w:rsidR="002C17C6" w:rsidRPr="00FE1A1A">
        <w:rPr>
          <w:sz w:val="20"/>
        </w:rPr>
        <w:t>called upon</w:t>
      </w:r>
      <w:r w:rsidR="00762151" w:rsidRPr="00FE1A1A">
        <w:rPr>
          <w:sz w:val="20"/>
        </w:rPr>
        <w:t xml:space="preserve"> to reduce the Class 1 tax </w:t>
      </w:r>
      <w:r w:rsidR="002C17C6" w:rsidRPr="00FE1A1A">
        <w:rPr>
          <w:sz w:val="20"/>
        </w:rPr>
        <w:t>bill</w:t>
      </w:r>
      <w:r w:rsidR="00CB5B13" w:rsidRPr="00FE1A1A">
        <w:rPr>
          <w:sz w:val="20"/>
        </w:rPr>
        <w:t xml:space="preserve">.  </w:t>
      </w:r>
      <w:r w:rsidR="00987663" w:rsidRPr="00FE1A1A">
        <w:rPr>
          <w:sz w:val="20"/>
        </w:rPr>
        <w:t>(See “A</w:t>
      </w:r>
      <w:r w:rsidR="00CB5B13" w:rsidRPr="00FE1A1A">
        <w:rPr>
          <w:sz w:val="20"/>
        </w:rPr>
        <w:t xml:space="preserve">.  </w:t>
      </w:r>
      <w:r w:rsidR="00987663" w:rsidRPr="00FE1A1A">
        <w:rPr>
          <w:sz w:val="20"/>
        </w:rPr>
        <w:t>Residential Factor” above.)</w:t>
      </w:r>
    </w:p>
    <w:p w:rsidR="007E4DBF" w:rsidRPr="00FE1A1A" w:rsidRDefault="007E4DBF">
      <w:pPr>
        <w:pStyle w:val="BodyText"/>
        <w:ind w:left="720" w:firstLine="720"/>
        <w:rPr>
          <w:sz w:val="20"/>
        </w:rPr>
      </w:pPr>
    </w:p>
    <w:p w:rsidR="00AA16C2" w:rsidRPr="00FE1A1A" w:rsidRDefault="00AA16C2">
      <w:pPr>
        <w:pStyle w:val="BodyText"/>
        <w:ind w:left="720" w:firstLine="720"/>
        <w:rPr>
          <w:sz w:val="20"/>
        </w:rPr>
      </w:pPr>
      <w:r w:rsidRPr="00FE1A1A">
        <w:rPr>
          <w:b/>
          <w:sz w:val="20"/>
          <w:u w:val="single"/>
        </w:rPr>
        <w:t>Recommendation of the Board of Assessors</w:t>
      </w:r>
    </w:p>
    <w:p w:rsidR="00AA16C2" w:rsidRPr="00FE1A1A" w:rsidRDefault="00AA16C2">
      <w:pPr>
        <w:pStyle w:val="BodyText"/>
        <w:ind w:left="720" w:firstLine="720"/>
        <w:rPr>
          <w:sz w:val="20"/>
        </w:rPr>
      </w:pPr>
    </w:p>
    <w:p w:rsidR="00A963F3" w:rsidRDefault="009F7229">
      <w:pPr>
        <w:pStyle w:val="BodyText"/>
        <w:ind w:left="720" w:firstLine="720"/>
        <w:rPr>
          <w:b/>
          <w:sz w:val="20"/>
        </w:rPr>
      </w:pPr>
      <w:r w:rsidRPr="00FE1A1A">
        <w:rPr>
          <w:b/>
          <w:sz w:val="20"/>
        </w:rPr>
        <w:t>The Board of Assessors does not support</w:t>
      </w:r>
      <w:r w:rsidR="001B2953" w:rsidRPr="00FE1A1A">
        <w:rPr>
          <w:b/>
          <w:sz w:val="20"/>
        </w:rPr>
        <w:t xml:space="preserve"> adoption of a </w:t>
      </w:r>
      <w:r w:rsidRPr="00FE1A1A">
        <w:rPr>
          <w:b/>
          <w:sz w:val="20"/>
        </w:rPr>
        <w:t>residential exemption</w:t>
      </w:r>
      <w:r w:rsidR="00AA16C2" w:rsidRPr="00FE1A1A">
        <w:rPr>
          <w:b/>
          <w:sz w:val="20"/>
        </w:rPr>
        <w:t xml:space="preserve"> because its impact would be to raise taxes on a substantial number of residential parcels without regard to the fiscal circumstances of the occupants</w:t>
      </w:r>
      <w:r w:rsidR="00E232DF">
        <w:rPr>
          <w:b/>
          <w:sz w:val="20"/>
        </w:rPr>
        <w:t>,</w:t>
      </w:r>
      <w:r w:rsidR="00A55481" w:rsidRPr="00FE1A1A">
        <w:rPr>
          <w:b/>
          <w:sz w:val="20"/>
        </w:rPr>
        <w:t xml:space="preserve"> while lowering taxes on a substantial number of residential parcels whose financial circumstances may not indicate a need for a discounted property tax</w:t>
      </w:r>
      <w:r w:rsidR="00CB5B13" w:rsidRPr="00FE1A1A">
        <w:rPr>
          <w:b/>
          <w:sz w:val="20"/>
        </w:rPr>
        <w:t xml:space="preserve">.  </w:t>
      </w:r>
      <w:r w:rsidR="00CE6100" w:rsidRPr="00FE1A1A">
        <w:rPr>
          <w:b/>
          <w:sz w:val="20"/>
        </w:rPr>
        <w:t xml:space="preserve">(See </w:t>
      </w:r>
      <w:r w:rsidR="004A7A34">
        <w:rPr>
          <w:b/>
          <w:i/>
          <w:sz w:val="20"/>
        </w:rPr>
        <w:t>a</w:t>
      </w:r>
      <w:r w:rsidR="00762151" w:rsidRPr="00FE1A1A">
        <w:rPr>
          <w:b/>
          <w:i/>
          <w:sz w:val="20"/>
        </w:rPr>
        <w:t xml:space="preserve"> report to the Concord </w:t>
      </w:r>
      <w:r w:rsidR="00762151" w:rsidRPr="00FE1A1A">
        <w:rPr>
          <w:b/>
          <w:i/>
          <w:sz w:val="20"/>
        </w:rPr>
        <w:lastRenderedPageBreak/>
        <w:t xml:space="preserve">Board of Assessors </w:t>
      </w:r>
      <w:r w:rsidR="00762151" w:rsidRPr="00FE1A1A">
        <w:rPr>
          <w:b/>
          <w:sz w:val="20"/>
        </w:rPr>
        <w:t xml:space="preserve">by Lynn Masson and Tony Logalbo on 10/13/05 and </w:t>
      </w:r>
      <w:r w:rsidRPr="00FE1A1A">
        <w:rPr>
          <w:b/>
          <w:i/>
          <w:sz w:val="20"/>
        </w:rPr>
        <w:t>The Residential Exemption</w:t>
      </w:r>
      <w:r w:rsidRPr="00FE1A1A">
        <w:rPr>
          <w:b/>
          <w:sz w:val="20"/>
        </w:rPr>
        <w:t xml:space="preserve"> prepared by Jay E</w:t>
      </w:r>
      <w:r w:rsidR="00CB5B13" w:rsidRPr="00FE1A1A">
        <w:rPr>
          <w:b/>
          <w:sz w:val="20"/>
        </w:rPr>
        <w:t xml:space="preserve">.  </w:t>
      </w:r>
      <w:r w:rsidRPr="00FE1A1A">
        <w:rPr>
          <w:b/>
          <w:sz w:val="20"/>
        </w:rPr>
        <w:t>Closser on 11/25/98)</w:t>
      </w:r>
      <w:r w:rsidR="004A7A34">
        <w:rPr>
          <w:b/>
          <w:sz w:val="20"/>
        </w:rPr>
        <w:t xml:space="preserve"> </w:t>
      </w:r>
      <w:r w:rsidR="004507E8">
        <w:rPr>
          <w:b/>
          <w:sz w:val="20"/>
        </w:rPr>
        <w:t>all available at</w:t>
      </w:r>
      <w:r w:rsidR="00A963F3">
        <w:rPr>
          <w:b/>
          <w:sz w:val="20"/>
        </w:rPr>
        <w:t>:</w:t>
      </w:r>
    </w:p>
    <w:p w:rsidR="002867B2" w:rsidRDefault="00B50604">
      <w:pPr>
        <w:pStyle w:val="BodyText"/>
        <w:ind w:left="720" w:firstLine="720"/>
        <w:rPr>
          <w:b/>
          <w:sz w:val="20"/>
        </w:rPr>
      </w:pPr>
      <w:hyperlink r:id="rId15" w:history="1">
        <w:r w:rsidR="00640208" w:rsidRPr="001044AC">
          <w:rPr>
            <w:rStyle w:val="Hyperlink"/>
            <w:b/>
            <w:sz w:val="20"/>
          </w:rPr>
          <w:t>http://www.concordma.gov/Pages/ConcordMA_Assessor/FY18INFO</w:t>
        </w:r>
      </w:hyperlink>
    </w:p>
    <w:p w:rsidR="002867B2" w:rsidRDefault="002867B2" w:rsidP="004507E8">
      <w:pPr>
        <w:pStyle w:val="BodyText"/>
        <w:ind w:left="0"/>
        <w:rPr>
          <w:b/>
          <w:sz w:val="20"/>
        </w:rPr>
      </w:pPr>
    </w:p>
    <w:p w:rsidR="004507E8" w:rsidRPr="00282B38" w:rsidRDefault="004507E8" w:rsidP="002867B2">
      <w:pPr>
        <w:pStyle w:val="BodyText"/>
        <w:ind w:left="0"/>
        <w:rPr>
          <w:b/>
          <w:sz w:val="20"/>
        </w:rPr>
      </w:pPr>
      <w:r w:rsidRPr="00282B38">
        <w:rPr>
          <w:b/>
          <w:sz w:val="20"/>
        </w:rPr>
        <w:t>Further, the Board notes the adverse consequen</w:t>
      </w:r>
      <w:r w:rsidR="00282B38">
        <w:rPr>
          <w:b/>
          <w:sz w:val="20"/>
        </w:rPr>
        <w:t>ce</w:t>
      </w:r>
      <w:r w:rsidRPr="00282B38">
        <w:rPr>
          <w:b/>
          <w:sz w:val="20"/>
        </w:rPr>
        <w:t>s that would result for apartment buildings and</w:t>
      </w:r>
      <w:r w:rsidR="002867B2">
        <w:rPr>
          <w:b/>
          <w:sz w:val="20"/>
        </w:rPr>
        <w:t xml:space="preserve"> </w:t>
      </w:r>
      <w:r w:rsidRPr="00282B38">
        <w:rPr>
          <w:b/>
          <w:sz w:val="20"/>
        </w:rPr>
        <w:t>multi-family units, which comprise a significant proportion of Concord’s affordable housing stock</w:t>
      </w:r>
      <w:r w:rsidR="00282B38" w:rsidRPr="00282B38">
        <w:rPr>
          <w:b/>
          <w:sz w:val="20"/>
        </w:rPr>
        <w:t>.</w:t>
      </w:r>
    </w:p>
    <w:p w:rsidR="004507E8" w:rsidRPr="00FE1A1A" w:rsidRDefault="004507E8">
      <w:pPr>
        <w:pStyle w:val="BodyText"/>
        <w:rPr>
          <w:sz w:val="20"/>
        </w:rPr>
      </w:pPr>
    </w:p>
    <w:p w:rsidR="007E01C3" w:rsidRDefault="007E01C3">
      <w:pPr>
        <w:pStyle w:val="BodyText"/>
        <w:ind w:left="720"/>
        <w:rPr>
          <w:b/>
          <w:sz w:val="20"/>
        </w:rPr>
      </w:pPr>
    </w:p>
    <w:p w:rsidR="009F7229" w:rsidRPr="00FE1A1A" w:rsidRDefault="009F7229">
      <w:pPr>
        <w:pStyle w:val="BodyText"/>
        <w:ind w:left="720"/>
        <w:rPr>
          <w:b/>
          <w:sz w:val="20"/>
        </w:rPr>
      </w:pPr>
      <w:r w:rsidRPr="00FE1A1A">
        <w:rPr>
          <w:b/>
          <w:sz w:val="20"/>
        </w:rPr>
        <w:t>D.</w:t>
      </w:r>
      <w:r w:rsidRPr="00FE1A1A">
        <w:rPr>
          <w:b/>
          <w:sz w:val="20"/>
        </w:rPr>
        <w:tab/>
        <w:t>Small Commercial Exemption</w:t>
      </w:r>
    </w:p>
    <w:p w:rsidR="009F7229" w:rsidRPr="00FE1A1A" w:rsidRDefault="009F7229">
      <w:pPr>
        <w:pStyle w:val="BodyText"/>
        <w:rPr>
          <w:sz w:val="20"/>
        </w:rPr>
      </w:pPr>
    </w:p>
    <w:p w:rsidR="009F7229" w:rsidRPr="00FE1A1A" w:rsidRDefault="009F7229">
      <w:pPr>
        <w:pStyle w:val="BodyText"/>
        <w:ind w:left="720" w:firstLine="720"/>
        <w:rPr>
          <w:sz w:val="20"/>
        </w:rPr>
      </w:pPr>
      <w:r w:rsidRPr="00FE1A1A">
        <w:rPr>
          <w:sz w:val="20"/>
        </w:rPr>
        <w:t>Under M.G.L</w:t>
      </w:r>
      <w:r w:rsidR="00E32E18" w:rsidRPr="00FE1A1A">
        <w:rPr>
          <w:sz w:val="20"/>
        </w:rPr>
        <w:t xml:space="preserve">. </w:t>
      </w:r>
      <w:r w:rsidRPr="00FE1A1A">
        <w:rPr>
          <w:sz w:val="20"/>
        </w:rPr>
        <w:t xml:space="preserve">Chapter 59, section 5I, the </w:t>
      </w:r>
      <w:r w:rsidR="000A1F07">
        <w:rPr>
          <w:sz w:val="20"/>
        </w:rPr>
        <w:t>Select Board</w:t>
      </w:r>
      <w:r w:rsidRPr="00FE1A1A">
        <w:rPr>
          <w:sz w:val="20"/>
        </w:rPr>
        <w:t xml:space="preserve"> may decide annually to exempt up to ten percent of the </w:t>
      </w:r>
      <w:r w:rsidR="00CA67E1">
        <w:rPr>
          <w:sz w:val="20"/>
        </w:rPr>
        <w:t xml:space="preserve">average </w:t>
      </w:r>
      <w:r w:rsidRPr="00FE1A1A">
        <w:rPr>
          <w:sz w:val="20"/>
        </w:rPr>
        <w:t>v</w:t>
      </w:r>
      <w:r w:rsidR="00762151" w:rsidRPr="00FE1A1A">
        <w:rPr>
          <w:sz w:val="20"/>
        </w:rPr>
        <w:t>alue of Class Three</w:t>
      </w:r>
      <w:r w:rsidR="00CA67E1">
        <w:rPr>
          <w:sz w:val="20"/>
        </w:rPr>
        <w:t>(C</w:t>
      </w:r>
      <w:r w:rsidR="00762151" w:rsidRPr="00FE1A1A">
        <w:rPr>
          <w:sz w:val="20"/>
        </w:rPr>
        <w:t>ommercial</w:t>
      </w:r>
      <w:r w:rsidR="00CA67E1">
        <w:rPr>
          <w:sz w:val="20"/>
        </w:rPr>
        <w:t xml:space="preserve">) </w:t>
      </w:r>
      <w:r w:rsidRPr="00FE1A1A">
        <w:rPr>
          <w:sz w:val="20"/>
        </w:rPr>
        <w:t xml:space="preserve"> </w:t>
      </w:r>
      <w:r w:rsidR="00CA67E1">
        <w:rPr>
          <w:sz w:val="20"/>
        </w:rPr>
        <w:t xml:space="preserve">The properties have to be </w:t>
      </w:r>
      <w:r w:rsidRPr="00FE1A1A">
        <w:rPr>
          <w:sz w:val="20"/>
        </w:rPr>
        <w:t>occupied by businesses with an average annual employment of no more than ten people</w:t>
      </w:r>
      <w:r w:rsidR="00CB5B13" w:rsidRPr="00FE1A1A">
        <w:rPr>
          <w:sz w:val="20"/>
        </w:rPr>
        <w:t xml:space="preserve">.  </w:t>
      </w:r>
      <w:r w:rsidRPr="00FE1A1A">
        <w:rPr>
          <w:sz w:val="20"/>
        </w:rPr>
        <w:t>The building value must have a valuation of less than $1,000,000 and the property must be occupied by the eligible businesses as of the January 1 assessment date</w:t>
      </w:r>
      <w:r w:rsidR="00CB5B13" w:rsidRPr="00FE1A1A">
        <w:rPr>
          <w:sz w:val="20"/>
        </w:rPr>
        <w:t xml:space="preserve">.  </w:t>
      </w:r>
      <w:r w:rsidRPr="00FE1A1A">
        <w:rPr>
          <w:sz w:val="20"/>
        </w:rPr>
        <w:t xml:space="preserve">The property </w:t>
      </w:r>
      <w:r w:rsidR="00FC369F" w:rsidRPr="00FE1A1A">
        <w:rPr>
          <w:sz w:val="20"/>
        </w:rPr>
        <w:t>need</w:t>
      </w:r>
      <w:r w:rsidRPr="00FE1A1A">
        <w:rPr>
          <w:sz w:val="20"/>
        </w:rPr>
        <w:t xml:space="preserve"> not be owned by the eligible business</w:t>
      </w:r>
      <w:r w:rsidR="00C43C6D">
        <w:rPr>
          <w:sz w:val="20"/>
        </w:rPr>
        <w:t xml:space="preserve"> that ha</w:t>
      </w:r>
      <w:r w:rsidR="000447D4">
        <w:rPr>
          <w:sz w:val="20"/>
        </w:rPr>
        <w:t>s</w:t>
      </w:r>
      <w:r w:rsidR="00C43C6D">
        <w:rPr>
          <w:sz w:val="20"/>
        </w:rPr>
        <w:t xml:space="preserve"> been approved as a small business by the DOR</w:t>
      </w:r>
      <w:r w:rsidR="00CB5B13" w:rsidRPr="00FE1A1A">
        <w:rPr>
          <w:sz w:val="20"/>
        </w:rPr>
        <w:t xml:space="preserve">.  </w:t>
      </w:r>
      <w:r w:rsidRPr="00FE1A1A">
        <w:rPr>
          <w:sz w:val="20"/>
        </w:rPr>
        <w:t>If multiple commercial occupants occupy the building, all occupants must be eligible</w:t>
      </w:r>
      <w:r w:rsidR="00CB5B13" w:rsidRPr="00FE1A1A">
        <w:rPr>
          <w:sz w:val="20"/>
        </w:rPr>
        <w:t xml:space="preserve">.  </w:t>
      </w:r>
      <w:r w:rsidRPr="00FE1A1A">
        <w:rPr>
          <w:sz w:val="20"/>
        </w:rPr>
        <w:t>The small commercial exemption is a reduction in the taxable valuation of the property applied by the assessors before setting the tax rate</w:t>
      </w:r>
      <w:r w:rsidR="00CB5B13" w:rsidRPr="00FE1A1A">
        <w:rPr>
          <w:sz w:val="20"/>
        </w:rPr>
        <w:t xml:space="preserve">.  </w:t>
      </w:r>
      <w:r w:rsidR="00762151" w:rsidRPr="00FE1A1A">
        <w:rPr>
          <w:sz w:val="20"/>
        </w:rPr>
        <w:t>Like the Residential Exemption discussed above, the consequence of the Commercial Exemption is to set a new Commercial Tax Rate higher t</w:t>
      </w:r>
      <w:r w:rsidR="0033046E" w:rsidRPr="00FE1A1A">
        <w:rPr>
          <w:sz w:val="20"/>
        </w:rPr>
        <w:t>han the Uniform Tax Rate of $</w:t>
      </w:r>
      <w:r w:rsidR="002E73C4" w:rsidRPr="00FE1A1A">
        <w:rPr>
          <w:sz w:val="20"/>
        </w:rPr>
        <w:t>1</w:t>
      </w:r>
      <w:r w:rsidR="00691782">
        <w:rPr>
          <w:sz w:val="20"/>
        </w:rPr>
        <w:t>4.</w:t>
      </w:r>
      <w:r w:rsidR="00CA67E1">
        <w:rPr>
          <w:sz w:val="20"/>
        </w:rPr>
        <w:t>29</w:t>
      </w:r>
      <w:r w:rsidR="00CB5B13" w:rsidRPr="00FE1A1A">
        <w:rPr>
          <w:sz w:val="20"/>
        </w:rPr>
        <w:t xml:space="preserve">.  </w:t>
      </w:r>
      <w:r w:rsidRPr="00FE1A1A">
        <w:rPr>
          <w:sz w:val="20"/>
        </w:rPr>
        <w:t xml:space="preserve">If adopted, it has the effect of reducing property taxes on </w:t>
      </w:r>
      <w:r w:rsidR="00762151" w:rsidRPr="00FE1A1A">
        <w:rPr>
          <w:sz w:val="20"/>
        </w:rPr>
        <w:t xml:space="preserve">certain commercial </w:t>
      </w:r>
      <w:r w:rsidRPr="00FE1A1A">
        <w:rPr>
          <w:sz w:val="20"/>
        </w:rPr>
        <w:t>properties occupied by small businesses and shifting those taxes onto other comme</w:t>
      </w:r>
      <w:r w:rsidR="00762151" w:rsidRPr="00FE1A1A">
        <w:rPr>
          <w:sz w:val="20"/>
        </w:rPr>
        <w:t>rcial properties, many of which are likely also occupied by small businesses as either owners or leaseholders.</w:t>
      </w:r>
    </w:p>
    <w:p w:rsidR="009F7229" w:rsidRPr="00FE1A1A" w:rsidRDefault="009F7229">
      <w:pPr>
        <w:pStyle w:val="BodyText"/>
        <w:ind w:left="720" w:firstLine="720"/>
        <w:rPr>
          <w:sz w:val="20"/>
        </w:rPr>
      </w:pPr>
    </w:p>
    <w:p w:rsidR="009F7229" w:rsidRPr="00FE1A1A" w:rsidRDefault="00762151">
      <w:pPr>
        <w:pStyle w:val="BodyText"/>
        <w:ind w:left="720" w:firstLine="720"/>
        <w:rPr>
          <w:sz w:val="20"/>
        </w:rPr>
      </w:pPr>
      <w:r w:rsidRPr="00FE1A1A">
        <w:rPr>
          <w:sz w:val="20"/>
        </w:rPr>
        <w:t xml:space="preserve">In FY </w:t>
      </w:r>
      <w:r w:rsidR="004A5913">
        <w:rPr>
          <w:sz w:val="20"/>
        </w:rPr>
        <w:t>201</w:t>
      </w:r>
      <w:r w:rsidR="00CA67E1">
        <w:rPr>
          <w:sz w:val="20"/>
        </w:rPr>
        <w:t>8</w:t>
      </w:r>
      <w:r w:rsidR="009F7229" w:rsidRPr="00FE1A1A">
        <w:rPr>
          <w:sz w:val="20"/>
        </w:rPr>
        <w:t>, the Town of Concord</w:t>
      </w:r>
      <w:r w:rsidR="002E73C4" w:rsidRPr="00FE1A1A">
        <w:rPr>
          <w:sz w:val="20"/>
        </w:rPr>
        <w:t xml:space="preserve"> has 3</w:t>
      </w:r>
      <w:r w:rsidR="004E5306">
        <w:rPr>
          <w:sz w:val="20"/>
        </w:rPr>
        <w:t>3</w:t>
      </w:r>
      <w:r w:rsidR="00691782">
        <w:rPr>
          <w:sz w:val="20"/>
        </w:rPr>
        <w:t>5</w:t>
      </w:r>
      <w:r w:rsidRPr="00FE1A1A">
        <w:rPr>
          <w:sz w:val="20"/>
        </w:rPr>
        <w:t xml:space="preserve"> Class Three</w:t>
      </w:r>
      <w:r w:rsidR="009F7229" w:rsidRPr="00FE1A1A">
        <w:rPr>
          <w:sz w:val="20"/>
        </w:rPr>
        <w:t xml:space="preserve"> commercial properties wit</w:t>
      </w:r>
      <w:r w:rsidR="003F3D09" w:rsidRPr="00FE1A1A">
        <w:rPr>
          <w:sz w:val="20"/>
        </w:rPr>
        <w:t>h a total value of $</w:t>
      </w:r>
      <w:r w:rsidR="002A3850">
        <w:rPr>
          <w:sz w:val="20"/>
        </w:rPr>
        <w:t>3</w:t>
      </w:r>
      <w:r w:rsidR="00CA67E1">
        <w:rPr>
          <w:sz w:val="20"/>
        </w:rPr>
        <w:t>89,897,200</w:t>
      </w:r>
      <w:r w:rsidR="003F3D09" w:rsidRPr="00FE1A1A">
        <w:rPr>
          <w:sz w:val="20"/>
        </w:rPr>
        <w:t xml:space="preserve"> (</w:t>
      </w:r>
      <w:r w:rsidR="002A3850">
        <w:rPr>
          <w:sz w:val="20"/>
        </w:rPr>
        <w:t>ex</w:t>
      </w:r>
      <w:r w:rsidR="003F3D09" w:rsidRPr="00FE1A1A">
        <w:rPr>
          <w:sz w:val="20"/>
        </w:rPr>
        <w:t>cluding mixed use)</w:t>
      </w:r>
      <w:r w:rsidR="00CB5B13" w:rsidRPr="00FE1A1A">
        <w:rPr>
          <w:sz w:val="20"/>
        </w:rPr>
        <w:t xml:space="preserve">.  </w:t>
      </w:r>
      <w:r w:rsidR="009F7229" w:rsidRPr="00FE1A1A">
        <w:rPr>
          <w:sz w:val="20"/>
        </w:rPr>
        <w:t xml:space="preserve">There are </w:t>
      </w:r>
      <w:r w:rsidR="00C43C6D">
        <w:rPr>
          <w:sz w:val="20"/>
        </w:rPr>
        <w:t xml:space="preserve">approximately </w:t>
      </w:r>
      <w:r w:rsidR="008820CF">
        <w:rPr>
          <w:sz w:val="20"/>
        </w:rPr>
        <w:t>83</w:t>
      </w:r>
      <w:r w:rsidR="009F7229" w:rsidRPr="00FE1A1A">
        <w:rPr>
          <w:sz w:val="20"/>
        </w:rPr>
        <w:t xml:space="preserve"> parcels over $1,000,000 and</w:t>
      </w:r>
      <w:r w:rsidR="00BD10B6" w:rsidRPr="00FE1A1A">
        <w:rPr>
          <w:sz w:val="20"/>
        </w:rPr>
        <w:t xml:space="preserve"> </w:t>
      </w:r>
      <w:r w:rsidR="0047634C">
        <w:rPr>
          <w:sz w:val="20"/>
        </w:rPr>
        <w:t>1</w:t>
      </w:r>
      <w:r w:rsidR="009F7229" w:rsidRPr="00FE1A1A">
        <w:rPr>
          <w:sz w:val="20"/>
        </w:rPr>
        <w:t xml:space="preserve"> vacant</w:t>
      </w:r>
      <w:r w:rsidR="008820CF">
        <w:rPr>
          <w:sz w:val="20"/>
        </w:rPr>
        <w:t xml:space="preserve"> developable </w:t>
      </w:r>
      <w:r w:rsidR="009F7229" w:rsidRPr="00FE1A1A">
        <w:rPr>
          <w:sz w:val="20"/>
        </w:rPr>
        <w:t xml:space="preserve"> parcel</w:t>
      </w:r>
      <w:r w:rsidR="00CB5B13" w:rsidRPr="00FE1A1A">
        <w:rPr>
          <w:sz w:val="20"/>
        </w:rPr>
        <w:t xml:space="preserve">.  </w:t>
      </w:r>
      <w:r w:rsidR="009F7229" w:rsidRPr="00FE1A1A">
        <w:rPr>
          <w:sz w:val="20"/>
        </w:rPr>
        <w:t>The majority of the remaining parcels</w:t>
      </w:r>
      <w:r w:rsidR="008820CF">
        <w:rPr>
          <w:sz w:val="20"/>
        </w:rPr>
        <w:t xml:space="preserve"> </w:t>
      </w:r>
      <w:r w:rsidR="009F7229" w:rsidRPr="00FE1A1A">
        <w:rPr>
          <w:sz w:val="20"/>
        </w:rPr>
        <w:t>are commercial condominiums</w:t>
      </w:r>
      <w:r w:rsidR="008820CF">
        <w:rPr>
          <w:sz w:val="20"/>
        </w:rPr>
        <w:t xml:space="preserve"> that may or may not </w:t>
      </w:r>
      <w:r w:rsidR="009F7229" w:rsidRPr="00FE1A1A">
        <w:rPr>
          <w:sz w:val="20"/>
        </w:rPr>
        <w:t>qualify</w:t>
      </w:r>
      <w:r w:rsidR="00CB5B13" w:rsidRPr="00FE1A1A">
        <w:rPr>
          <w:sz w:val="20"/>
        </w:rPr>
        <w:t xml:space="preserve">.  </w:t>
      </w:r>
      <w:r w:rsidRPr="00FE1A1A">
        <w:rPr>
          <w:sz w:val="20"/>
        </w:rPr>
        <w:t xml:space="preserve">However, the </w:t>
      </w:r>
      <w:r w:rsidR="00C43C6D">
        <w:rPr>
          <w:sz w:val="20"/>
        </w:rPr>
        <w:t>businesses need</w:t>
      </w:r>
      <w:r w:rsidR="008820CF">
        <w:rPr>
          <w:sz w:val="20"/>
        </w:rPr>
        <w:t>s</w:t>
      </w:r>
      <w:r w:rsidR="00C43C6D">
        <w:rPr>
          <w:sz w:val="20"/>
        </w:rPr>
        <w:t xml:space="preserve"> to apply to the DOR to be qualified</w:t>
      </w:r>
      <w:r w:rsidR="005F7BD9">
        <w:rPr>
          <w:sz w:val="20"/>
        </w:rPr>
        <w:t xml:space="preserve"> as a small business</w:t>
      </w:r>
      <w:r w:rsidR="00C43C6D">
        <w:rPr>
          <w:sz w:val="20"/>
        </w:rPr>
        <w:t xml:space="preserve">.  If this exemption were to be considered it would require several years notification, so that the businesses that could qualify would </w:t>
      </w:r>
      <w:r w:rsidR="008820CF">
        <w:rPr>
          <w:sz w:val="20"/>
        </w:rPr>
        <w:t xml:space="preserve">have time to </w:t>
      </w:r>
      <w:r w:rsidR="00C43C6D">
        <w:rPr>
          <w:sz w:val="20"/>
        </w:rPr>
        <w:t xml:space="preserve">be </w:t>
      </w:r>
      <w:r w:rsidR="008820CF">
        <w:rPr>
          <w:sz w:val="20"/>
        </w:rPr>
        <w:t>approved by the DOR</w:t>
      </w:r>
      <w:r w:rsidR="00C43C6D">
        <w:rPr>
          <w:sz w:val="20"/>
        </w:rPr>
        <w:t xml:space="preserve">. There are a limited number of </w:t>
      </w:r>
      <w:r w:rsidR="0079171A" w:rsidRPr="00FE1A1A">
        <w:rPr>
          <w:sz w:val="20"/>
        </w:rPr>
        <w:t xml:space="preserve">communities </w:t>
      </w:r>
      <w:r w:rsidR="00C43C6D">
        <w:rPr>
          <w:sz w:val="20"/>
        </w:rPr>
        <w:t xml:space="preserve">that provide the </w:t>
      </w:r>
      <w:r w:rsidR="0079171A" w:rsidRPr="00FE1A1A">
        <w:rPr>
          <w:sz w:val="20"/>
        </w:rPr>
        <w:t>small commercial exemption</w:t>
      </w:r>
      <w:r w:rsidR="00C43C6D">
        <w:rPr>
          <w:sz w:val="20"/>
        </w:rPr>
        <w:t xml:space="preserve"> includ</w:t>
      </w:r>
      <w:r w:rsidR="00E232DF">
        <w:rPr>
          <w:sz w:val="20"/>
        </w:rPr>
        <w:t>ing</w:t>
      </w:r>
      <w:r w:rsidR="0079171A" w:rsidRPr="00FE1A1A">
        <w:rPr>
          <w:sz w:val="20"/>
        </w:rPr>
        <w:t xml:space="preserve">: </w:t>
      </w:r>
      <w:r w:rsidR="00313EE2" w:rsidRPr="00FE1A1A">
        <w:rPr>
          <w:sz w:val="20"/>
        </w:rPr>
        <w:t xml:space="preserve">Auburn, </w:t>
      </w:r>
      <w:r w:rsidR="0079171A" w:rsidRPr="00FE1A1A">
        <w:rPr>
          <w:sz w:val="20"/>
        </w:rPr>
        <w:t xml:space="preserve">Avon, Bellingham, Braintree, </w:t>
      </w:r>
      <w:r w:rsidR="00313EE2" w:rsidRPr="00FE1A1A">
        <w:rPr>
          <w:sz w:val="20"/>
        </w:rPr>
        <w:t xml:space="preserve">Dartmouth, New Ashford, Seekonk, </w:t>
      </w:r>
      <w:r w:rsidR="0079171A" w:rsidRPr="00FE1A1A">
        <w:rPr>
          <w:sz w:val="20"/>
        </w:rPr>
        <w:t>Somerset, Westford and Wrentham.</w:t>
      </w:r>
    </w:p>
    <w:p w:rsidR="009F7229" w:rsidRPr="00FE1A1A" w:rsidRDefault="009F7229">
      <w:pPr>
        <w:pStyle w:val="BodyText"/>
        <w:ind w:left="720" w:firstLine="720"/>
        <w:rPr>
          <w:sz w:val="20"/>
        </w:rPr>
      </w:pPr>
      <w:r w:rsidRPr="00FE1A1A">
        <w:rPr>
          <w:sz w:val="20"/>
        </w:rPr>
        <w:t xml:space="preserve"> </w:t>
      </w:r>
    </w:p>
    <w:p w:rsidR="001D2D7A" w:rsidRPr="00FE1A1A" w:rsidRDefault="00313EE2">
      <w:pPr>
        <w:pStyle w:val="BodyText"/>
        <w:ind w:left="720" w:firstLine="720"/>
        <w:rPr>
          <w:sz w:val="20"/>
        </w:rPr>
      </w:pPr>
      <w:r w:rsidRPr="00FE1A1A">
        <w:rPr>
          <w:sz w:val="20"/>
        </w:rPr>
        <w:t>The intent</w:t>
      </w:r>
      <w:r w:rsidR="009F7229" w:rsidRPr="00FE1A1A">
        <w:rPr>
          <w:sz w:val="20"/>
        </w:rPr>
        <w:t xml:space="preserve"> of the law is to give a tax reduction to small businesses at the expense of the larger commercial parcels</w:t>
      </w:r>
      <w:r w:rsidR="00CB5B13" w:rsidRPr="00FE1A1A">
        <w:rPr>
          <w:sz w:val="20"/>
        </w:rPr>
        <w:t xml:space="preserve">.  </w:t>
      </w:r>
      <w:r w:rsidR="009F7229" w:rsidRPr="00FE1A1A">
        <w:rPr>
          <w:sz w:val="20"/>
        </w:rPr>
        <w:t>The question of fairness arises since the legislation is based upon</w:t>
      </w:r>
      <w:r w:rsidR="00B00B79" w:rsidRPr="00FE1A1A">
        <w:rPr>
          <w:sz w:val="20"/>
        </w:rPr>
        <w:t xml:space="preserve"> the assumption </w:t>
      </w:r>
      <w:r w:rsidR="009F7229" w:rsidRPr="00FE1A1A">
        <w:rPr>
          <w:sz w:val="20"/>
        </w:rPr>
        <w:t xml:space="preserve">that the owners </w:t>
      </w:r>
      <w:r w:rsidR="001D2D7A" w:rsidRPr="00FE1A1A">
        <w:rPr>
          <w:sz w:val="20"/>
        </w:rPr>
        <w:t xml:space="preserve">of larger buildings </w:t>
      </w:r>
      <w:r w:rsidR="009F7229" w:rsidRPr="00FE1A1A">
        <w:rPr>
          <w:sz w:val="20"/>
        </w:rPr>
        <w:t xml:space="preserve">are </w:t>
      </w:r>
      <w:r w:rsidR="001D2D7A" w:rsidRPr="00FE1A1A">
        <w:rPr>
          <w:sz w:val="20"/>
        </w:rPr>
        <w:t xml:space="preserve">financially </w:t>
      </w:r>
      <w:r w:rsidR="009F7229" w:rsidRPr="00FE1A1A">
        <w:rPr>
          <w:sz w:val="20"/>
        </w:rPr>
        <w:t xml:space="preserve">healthier than the </w:t>
      </w:r>
      <w:r w:rsidR="001D2D7A" w:rsidRPr="00FE1A1A">
        <w:rPr>
          <w:sz w:val="20"/>
        </w:rPr>
        <w:t xml:space="preserve">owners of </w:t>
      </w:r>
      <w:r w:rsidR="009F7229" w:rsidRPr="00FE1A1A">
        <w:rPr>
          <w:sz w:val="20"/>
        </w:rPr>
        <w:t>small</w:t>
      </w:r>
      <w:r w:rsidR="001D2D7A" w:rsidRPr="00FE1A1A">
        <w:rPr>
          <w:sz w:val="20"/>
        </w:rPr>
        <w:t>er</w:t>
      </w:r>
      <w:r w:rsidR="009F7229" w:rsidRPr="00FE1A1A">
        <w:rPr>
          <w:sz w:val="20"/>
        </w:rPr>
        <w:t xml:space="preserve"> </w:t>
      </w:r>
      <w:r w:rsidR="001D2D7A" w:rsidRPr="00FE1A1A">
        <w:rPr>
          <w:sz w:val="20"/>
        </w:rPr>
        <w:t>buildings</w:t>
      </w:r>
      <w:r w:rsidR="009F7229" w:rsidRPr="00FE1A1A">
        <w:rPr>
          <w:sz w:val="20"/>
        </w:rPr>
        <w:t>.</w:t>
      </w:r>
    </w:p>
    <w:p w:rsidR="001D2D7A" w:rsidRPr="00FE1A1A" w:rsidRDefault="001D2D7A">
      <w:pPr>
        <w:pStyle w:val="BodyText"/>
        <w:ind w:left="720" w:firstLine="720"/>
        <w:rPr>
          <w:sz w:val="20"/>
        </w:rPr>
      </w:pPr>
    </w:p>
    <w:p w:rsidR="009F7229" w:rsidRPr="00FE1A1A" w:rsidRDefault="001D2D7A">
      <w:pPr>
        <w:pStyle w:val="BodyText"/>
        <w:ind w:left="720" w:firstLine="720"/>
        <w:rPr>
          <w:sz w:val="20"/>
        </w:rPr>
      </w:pPr>
      <w:r w:rsidRPr="00FE1A1A">
        <w:rPr>
          <w:b/>
          <w:sz w:val="20"/>
          <w:u w:val="single"/>
        </w:rPr>
        <w:t xml:space="preserve">Recommendation of the </w:t>
      </w:r>
      <w:r w:rsidR="00B00B79" w:rsidRPr="00FE1A1A">
        <w:rPr>
          <w:b/>
          <w:sz w:val="20"/>
          <w:u w:val="single"/>
        </w:rPr>
        <w:t>B</w:t>
      </w:r>
      <w:r w:rsidRPr="00FE1A1A">
        <w:rPr>
          <w:b/>
          <w:sz w:val="20"/>
          <w:u w:val="single"/>
        </w:rPr>
        <w:t>oard of Assessors</w:t>
      </w:r>
      <w:r w:rsidR="009F7229" w:rsidRPr="00FE1A1A">
        <w:rPr>
          <w:sz w:val="20"/>
        </w:rPr>
        <w:t xml:space="preserve">  </w:t>
      </w:r>
    </w:p>
    <w:p w:rsidR="001D2D7A" w:rsidRPr="00FE1A1A" w:rsidRDefault="001D2D7A">
      <w:pPr>
        <w:pStyle w:val="BodyText"/>
        <w:ind w:left="720" w:firstLine="720"/>
        <w:rPr>
          <w:sz w:val="20"/>
        </w:rPr>
      </w:pPr>
    </w:p>
    <w:p w:rsidR="009F7229" w:rsidRDefault="009F7229">
      <w:pPr>
        <w:pStyle w:val="BodyText"/>
        <w:ind w:left="720" w:firstLine="720"/>
        <w:rPr>
          <w:b/>
          <w:sz w:val="20"/>
        </w:rPr>
      </w:pPr>
      <w:r w:rsidRPr="00FE1A1A">
        <w:rPr>
          <w:b/>
          <w:sz w:val="20"/>
        </w:rPr>
        <w:t xml:space="preserve">The Board of Assessors does not support </w:t>
      </w:r>
      <w:r w:rsidR="001B2953" w:rsidRPr="00FE1A1A">
        <w:rPr>
          <w:b/>
          <w:sz w:val="20"/>
        </w:rPr>
        <w:t xml:space="preserve">adoption of the </w:t>
      </w:r>
      <w:r w:rsidRPr="00FE1A1A">
        <w:rPr>
          <w:b/>
          <w:sz w:val="20"/>
        </w:rPr>
        <w:t xml:space="preserve">small commercial exemption (See </w:t>
      </w:r>
      <w:r w:rsidRPr="00FE1A1A">
        <w:rPr>
          <w:b/>
          <w:i/>
          <w:sz w:val="20"/>
        </w:rPr>
        <w:t>The Small Commercial Exemption</w:t>
      </w:r>
      <w:r w:rsidRPr="00FE1A1A">
        <w:rPr>
          <w:b/>
          <w:sz w:val="20"/>
        </w:rPr>
        <w:t xml:space="preserve"> by Jay E</w:t>
      </w:r>
      <w:r w:rsidR="00CB5B13" w:rsidRPr="00FE1A1A">
        <w:rPr>
          <w:b/>
          <w:sz w:val="20"/>
        </w:rPr>
        <w:t xml:space="preserve">.  </w:t>
      </w:r>
      <w:r w:rsidRPr="00FE1A1A">
        <w:rPr>
          <w:b/>
          <w:sz w:val="20"/>
        </w:rPr>
        <w:t>Closser, dated November 25, 1998).</w:t>
      </w:r>
      <w:r w:rsidR="00D26ACD">
        <w:rPr>
          <w:b/>
          <w:sz w:val="20"/>
        </w:rPr>
        <w:t xml:space="preserve">  Also available at:</w:t>
      </w:r>
    </w:p>
    <w:p w:rsidR="00D26ACD" w:rsidRPr="00FE1A1A" w:rsidRDefault="00D26ACD">
      <w:pPr>
        <w:pStyle w:val="BodyText"/>
        <w:ind w:left="720" w:firstLine="720"/>
        <w:rPr>
          <w:b/>
          <w:sz w:val="20"/>
        </w:rPr>
      </w:pPr>
    </w:p>
    <w:p w:rsidR="00D26ACD" w:rsidRDefault="00B50604" w:rsidP="00D26ACD">
      <w:pPr>
        <w:pStyle w:val="BodyText"/>
        <w:ind w:left="720" w:firstLine="720"/>
        <w:rPr>
          <w:b/>
          <w:sz w:val="20"/>
        </w:rPr>
      </w:pPr>
      <w:hyperlink r:id="rId16" w:history="1">
        <w:r w:rsidR="008820CF" w:rsidRPr="001044AC">
          <w:rPr>
            <w:rStyle w:val="Hyperlink"/>
            <w:b/>
            <w:sz w:val="20"/>
          </w:rPr>
          <w:t>http://www.concordma.gov/Pages/ConcordMA_Assessor/FY18INFO</w:t>
        </w:r>
      </w:hyperlink>
    </w:p>
    <w:p w:rsidR="00AA6AB3" w:rsidRPr="00FE1A1A" w:rsidRDefault="00AA6AB3" w:rsidP="006A175E">
      <w:pPr>
        <w:pStyle w:val="BodyText"/>
        <w:ind w:left="0"/>
        <w:rPr>
          <w:sz w:val="20"/>
        </w:rPr>
      </w:pPr>
    </w:p>
    <w:p w:rsidR="009C6D1C" w:rsidRPr="00FE1A1A" w:rsidRDefault="009C6D1C" w:rsidP="007A1384">
      <w:pPr>
        <w:pStyle w:val="BodyText"/>
        <w:ind w:left="720"/>
        <w:rPr>
          <w:sz w:val="20"/>
        </w:rPr>
      </w:pPr>
    </w:p>
    <w:p w:rsidR="009F7229" w:rsidRPr="00FE1A1A" w:rsidRDefault="009C6D1C" w:rsidP="007A1384">
      <w:pPr>
        <w:pStyle w:val="BodyText"/>
        <w:ind w:left="720"/>
        <w:rPr>
          <w:b/>
          <w:sz w:val="20"/>
        </w:rPr>
      </w:pPr>
      <w:r w:rsidRPr="00FE1A1A">
        <w:rPr>
          <w:b/>
          <w:sz w:val="20"/>
        </w:rPr>
        <w:t>CONCLUSION</w:t>
      </w:r>
    </w:p>
    <w:p w:rsidR="009F7229" w:rsidRPr="00FE1A1A" w:rsidRDefault="009F7229" w:rsidP="007A1384">
      <w:pPr>
        <w:pStyle w:val="BodyText"/>
        <w:ind w:left="720"/>
        <w:rPr>
          <w:b/>
          <w:sz w:val="20"/>
        </w:rPr>
      </w:pPr>
    </w:p>
    <w:p w:rsidR="007A1384" w:rsidRPr="00FE1A1A" w:rsidRDefault="009F7229" w:rsidP="007A1384">
      <w:pPr>
        <w:pStyle w:val="BodyText"/>
        <w:ind w:left="720" w:firstLine="720"/>
        <w:rPr>
          <w:sz w:val="20"/>
        </w:rPr>
      </w:pPr>
      <w:r w:rsidRPr="00FE1A1A">
        <w:rPr>
          <w:b/>
          <w:sz w:val="20"/>
        </w:rPr>
        <w:t xml:space="preserve">In conclusion, </w:t>
      </w:r>
      <w:r w:rsidR="007A1384" w:rsidRPr="00FE1A1A">
        <w:rPr>
          <w:b/>
          <w:sz w:val="20"/>
        </w:rPr>
        <w:t xml:space="preserve">the Board of Assessors is unanimous in its </w:t>
      </w:r>
      <w:r w:rsidR="009C6D1C" w:rsidRPr="00FE1A1A">
        <w:rPr>
          <w:b/>
          <w:sz w:val="20"/>
        </w:rPr>
        <w:t>recommendation</w:t>
      </w:r>
      <w:r w:rsidR="007A1384" w:rsidRPr="00FE1A1A">
        <w:rPr>
          <w:b/>
          <w:sz w:val="20"/>
        </w:rPr>
        <w:t xml:space="preserve"> to retain the Uniform Tax Rate of </w:t>
      </w:r>
      <w:r w:rsidR="00E23BC7" w:rsidRPr="00FE1A1A">
        <w:rPr>
          <w:b/>
          <w:sz w:val="20"/>
        </w:rPr>
        <w:t>$1</w:t>
      </w:r>
      <w:r w:rsidR="0047634C">
        <w:rPr>
          <w:b/>
          <w:sz w:val="20"/>
        </w:rPr>
        <w:t>4.</w:t>
      </w:r>
      <w:r w:rsidR="00E20E72">
        <w:rPr>
          <w:b/>
          <w:sz w:val="20"/>
        </w:rPr>
        <w:t>29</w:t>
      </w:r>
      <w:r w:rsidR="003764F4" w:rsidRPr="00FE1A1A">
        <w:rPr>
          <w:b/>
          <w:sz w:val="20"/>
        </w:rPr>
        <w:t>/$1,000</w:t>
      </w:r>
      <w:r w:rsidR="008E2090">
        <w:rPr>
          <w:b/>
          <w:sz w:val="20"/>
        </w:rPr>
        <w:t xml:space="preserve"> of </w:t>
      </w:r>
      <w:r w:rsidR="003764F4" w:rsidRPr="00FE1A1A">
        <w:rPr>
          <w:b/>
          <w:sz w:val="20"/>
        </w:rPr>
        <w:t xml:space="preserve">valuation for </w:t>
      </w:r>
      <w:r w:rsidR="00410148" w:rsidRPr="00FE1A1A">
        <w:rPr>
          <w:b/>
          <w:sz w:val="20"/>
        </w:rPr>
        <w:t>FY1</w:t>
      </w:r>
      <w:r w:rsidR="00E20E72">
        <w:rPr>
          <w:b/>
          <w:sz w:val="20"/>
        </w:rPr>
        <w:t>8</w:t>
      </w:r>
      <w:r w:rsidR="00F26979" w:rsidRPr="00FE1A1A">
        <w:rPr>
          <w:b/>
          <w:sz w:val="20"/>
        </w:rPr>
        <w:t>.</w:t>
      </w:r>
    </w:p>
    <w:p w:rsidR="007A1384" w:rsidRPr="00FE1A1A" w:rsidRDefault="007A1384" w:rsidP="007A1384">
      <w:pPr>
        <w:pStyle w:val="BodyText"/>
        <w:ind w:left="720"/>
        <w:rPr>
          <w:b/>
          <w:sz w:val="20"/>
        </w:rPr>
      </w:pPr>
    </w:p>
    <w:p w:rsidR="002D29C7" w:rsidRPr="00E41A26" w:rsidRDefault="007A1384" w:rsidP="007A1384">
      <w:pPr>
        <w:pStyle w:val="BodyText"/>
        <w:ind w:left="720" w:firstLine="720"/>
        <w:rPr>
          <w:b/>
          <w:sz w:val="20"/>
        </w:rPr>
      </w:pPr>
      <w:r w:rsidRPr="00FE1A1A">
        <w:rPr>
          <w:b/>
          <w:sz w:val="20"/>
        </w:rPr>
        <w:t>T</w:t>
      </w:r>
      <w:r w:rsidR="009F7229" w:rsidRPr="00FE1A1A">
        <w:rPr>
          <w:b/>
          <w:sz w:val="20"/>
        </w:rPr>
        <w:t xml:space="preserve">he Board of Assessors does not recommend </w:t>
      </w:r>
      <w:r w:rsidR="001B2953" w:rsidRPr="00FE1A1A">
        <w:rPr>
          <w:b/>
          <w:sz w:val="20"/>
        </w:rPr>
        <w:t xml:space="preserve">adoption of </w:t>
      </w:r>
      <w:r w:rsidRPr="00FE1A1A">
        <w:rPr>
          <w:b/>
          <w:sz w:val="20"/>
        </w:rPr>
        <w:t xml:space="preserve">the Open Space Discount, the </w:t>
      </w:r>
      <w:r w:rsidR="009F7229" w:rsidRPr="00FE1A1A">
        <w:rPr>
          <w:b/>
          <w:sz w:val="20"/>
        </w:rPr>
        <w:t>Residential Exemption or the Small Business Exemption</w:t>
      </w:r>
      <w:r w:rsidR="00CB5B13" w:rsidRPr="00FE1A1A">
        <w:rPr>
          <w:b/>
          <w:sz w:val="20"/>
        </w:rPr>
        <w:t xml:space="preserve">.  </w:t>
      </w:r>
    </w:p>
    <w:p w:rsidR="001D2D7A" w:rsidRPr="00E41A26" w:rsidRDefault="007A1384" w:rsidP="00E41A26">
      <w:pPr>
        <w:pStyle w:val="Title"/>
      </w:pPr>
      <w:r w:rsidRPr="00E41A26">
        <w:rPr>
          <w:sz w:val="20"/>
        </w:rPr>
        <w:br w:type="page"/>
      </w:r>
      <w:r w:rsidR="009F7229" w:rsidRPr="00E41A26">
        <w:lastRenderedPageBreak/>
        <w:t>ADDENDA</w:t>
      </w:r>
      <w:r w:rsidR="001D2D7A" w:rsidRPr="00E41A26">
        <w:t xml:space="preserve">     </w:t>
      </w:r>
    </w:p>
    <w:p w:rsidR="001D2D7A" w:rsidRPr="00E41A26" w:rsidRDefault="001D2D7A">
      <w:pPr>
        <w:pStyle w:val="BodyText"/>
        <w:ind w:left="0"/>
        <w:jc w:val="center"/>
        <w:rPr>
          <w:b/>
          <w:sz w:val="20"/>
        </w:rPr>
        <w:sectPr w:rsidR="001D2D7A" w:rsidRPr="00E41A26" w:rsidSect="007E01C3">
          <w:pgSz w:w="12240" w:h="15840" w:code="1"/>
          <w:pgMar w:top="1008" w:right="720" w:bottom="1008" w:left="1440" w:header="720" w:footer="720" w:gutter="0"/>
          <w:cols w:space="720"/>
          <w:vAlign w:val="center"/>
          <w:docGrid w:linePitch="272"/>
        </w:sectPr>
      </w:pPr>
    </w:p>
    <w:p w:rsidR="009F7229" w:rsidRPr="00E41A26" w:rsidRDefault="001D2D7A">
      <w:pPr>
        <w:pStyle w:val="BodyText"/>
        <w:ind w:left="0"/>
        <w:jc w:val="center"/>
        <w:rPr>
          <w:b/>
          <w:sz w:val="20"/>
        </w:rPr>
      </w:pPr>
      <w:r w:rsidRPr="00E41A26">
        <w:rPr>
          <w:b/>
          <w:sz w:val="20"/>
        </w:rPr>
        <w:lastRenderedPageBreak/>
        <w:t>ADDENDUM #1</w:t>
      </w:r>
    </w:p>
    <w:p w:rsidR="00B00B79" w:rsidRPr="00E41A26" w:rsidRDefault="00B00B79">
      <w:pPr>
        <w:pStyle w:val="BodyText"/>
        <w:ind w:left="0"/>
        <w:jc w:val="center"/>
        <w:rPr>
          <w:b/>
          <w:sz w:val="20"/>
        </w:rPr>
      </w:pPr>
    </w:p>
    <w:p w:rsidR="001D2D7A" w:rsidRPr="009B6E0D" w:rsidRDefault="001D2D7A" w:rsidP="001D2D7A">
      <w:pPr>
        <w:pStyle w:val="BodyText"/>
        <w:ind w:left="2160"/>
        <w:jc w:val="left"/>
        <w:rPr>
          <w:b/>
          <w:sz w:val="19"/>
          <w:szCs w:val="19"/>
          <w:u w:val="single"/>
        </w:rPr>
      </w:pPr>
      <w:r w:rsidRPr="009B6E0D">
        <w:rPr>
          <w:b/>
          <w:sz w:val="19"/>
          <w:szCs w:val="19"/>
        </w:rPr>
        <w:t xml:space="preserve">  </w:t>
      </w:r>
      <w:r w:rsidRPr="009B6E0D">
        <w:rPr>
          <w:b/>
          <w:sz w:val="19"/>
          <w:szCs w:val="19"/>
          <w:u w:val="single"/>
        </w:rPr>
        <w:t>State Use Code</w:t>
      </w:r>
    </w:p>
    <w:p w:rsidR="001D2D7A" w:rsidRPr="009B6E0D" w:rsidRDefault="001D2D7A" w:rsidP="001D2D7A">
      <w:pPr>
        <w:pStyle w:val="BodyText"/>
        <w:ind w:left="2016"/>
        <w:jc w:val="left"/>
        <w:rPr>
          <w:sz w:val="19"/>
          <w:szCs w:val="19"/>
          <w:u w:val="single"/>
        </w:rPr>
      </w:pPr>
    </w:p>
    <w:p w:rsidR="00E6542E" w:rsidRPr="009B6E0D" w:rsidRDefault="00E6542E" w:rsidP="001D2D7A">
      <w:pPr>
        <w:pStyle w:val="BodyText"/>
        <w:ind w:left="2016"/>
        <w:jc w:val="left"/>
        <w:rPr>
          <w:sz w:val="19"/>
          <w:szCs w:val="19"/>
          <w:u w:val="single"/>
        </w:rPr>
      </w:pPr>
      <w:r w:rsidRPr="009B6E0D">
        <w:rPr>
          <w:sz w:val="19"/>
          <w:szCs w:val="19"/>
        </w:rPr>
        <w:tab/>
        <w:t xml:space="preserve">  </w:t>
      </w:r>
      <w:r w:rsidRPr="009B6E0D">
        <w:rPr>
          <w:sz w:val="19"/>
          <w:szCs w:val="19"/>
          <w:u w:val="single"/>
        </w:rPr>
        <w:t>Residences</w:t>
      </w:r>
    </w:p>
    <w:p w:rsidR="001D2D7A" w:rsidRPr="009B6E0D" w:rsidRDefault="00E6542E" w:rsidP="001D2D7A">
      <w:pPr>
        <w:pStyle w:val="BodyText"/>
        <w:numPr>
          <w:ilvl w:val="0"/>
          <w:numId w:val="14"/>
        </w:numPr>
        <w:jc w:val="left"/>
        <w:rPr>
          <w:sz w:val="19"/>
          <w:szCs w:val="19"/>
        </w:rPr>
      </w:pPr>
      <w:r w:rsidRPr="009B6E0D">
        <w:rPr>
          <w:sz w:val="19"/>
          <w:szCs w:val="19"/>
        </w:rPr>
        <w:t>Single Family</w:t>
      </w:r>
    </w:p>
    <w:p w:rsidR="001D2D7A" w:rsidRPr="009B6E0D" w:rsidRDefault="001D2D7A" w:rsidP="001D2D7A">
      <w:pPr>
        <w:pStyle w:val="BodyText"/>
        <w:numPr>
          <w:ilvl w:val="0"/>
          <w:numId w:val="14"/>
        </w:numPr>
        <w:jc w:val="left"/>
        <w:rPr>
          <w:sz w:val="19"/>
          <w:szCs w:val="19"/>
        </w:rPr>
      </w:pPr>
      <w:r w:rsidRPr="009B6E0D">
        <w:rPr>
          <w:sz w:val="19"/>
          <w:szCs w:val="19"/>
        </w:rPr>
        <w:t>Condominium</w:t>
      </w:r>
    </w:p>
    <w:p w:rsidR="001D2D7A" w:rsidRPr="009B6E0D" w:rsidRDefault="001D2D7A" w:rsidP="001D2D7A">
      <w:pPr>
        <w:pStyle w:val="BodyText"/>
        <w:numPr>
          <w:ilvl w:val="0"/>
          <w:numId w:val="14"/>
        </w:numPr>
        <w:jc w:val="left"/>
        <w:rPr>
          <w:sz w:val="19"/>
          <w:szCs w:val="19"/>
        </w:rPr>
      </w:pPr>
      <w:r w:rsidRPr="009B6E0D">
        <w:rPr>
          <w:sz w:val="19"/>
          <w:szCs w:val="19"/>
        </w:rPr>
        <w:t>Mobile Home</w:t>
      </w:r>
    </w:p>
    <w:p w:rsidR="00E6542E" w:rsidRPr="009B6E0D" w:rsidRDefault="00E6542E" w:rsidP="001D2D7A">
      <w:pPr>
        <w:pStyle w:val="BodyText"/>
        <w:numPr>
          <w:ilvl w:val="0"/>
          <w:numId w:val="14"/>
        </w:numPr>
        <w:jc w:val="left"/>
        <w:rPr>
          <w:sz w:val="19"/>
          <w:szCs w:val="19"/>
        </w:rPr>
      </w:pPr>
      <w:r w:rsidRPr="009B6E0D">
        <w:rPr>
          <w:sz w:val="19"/>
          <w:szCs w:val="19"/>
        </w:rPr>
        <w:t>Two-Family</w:t>
      </w:r>
    </w:p>
    <w:p w:rsidR="00E6542E" w:rsidRPr="009B6E0D" w:rsidRDefault="00E6542E" w:rsidP="001D2D7A">
      <w:pPr>
        <w:pStyle w:val="BodyText"/>
        <w:numPr>
          <w:ilvl w:val="0"/>
          <w:numId w:val="14"/>
        </w:numPr>
        <w:jc w:val="left"/>
        <w:rPr>
          <w:sz w:val="19"/>
          <w:szCs w:val="19"/>
        </w:rPr>
      </w:pPr>
      <w:r w:rsidRPr="009B6E0D">
        <w:rPr>
          <w:sz w:val="19"/>
          <w:szCs w:val="19"/>
        </w:rPr>
        <w:t>Three-Family</w:t>
      </w:r>
    </w:p>
    <w:p w:rsidR="00E6542E" w:rsidRPr="009B6E0D" w:rsidRDefault="00E6542E" w:rsidP="001D2D7A">
      <w:pPr>
        <w:pStyle w:val="BodyText"/>
        <w:numPr>
          <w:ilvl w:val="0"/>
          <w:numId w:val="14"/>
        </w:numPr>
        <w:jc w:val="left"/>
        <w:rPr>
          <w:sz w:val="19"/>
          <w:szCs w:val="19"/>
        </w:rPr>
      </w:pPr>
      <w:smartTag w:uri="urn:schemas-microsoft-com:office:smarttags" w:element="place">
        <w:smartTag w:uri="urn:schemas-microsoft-com:office:smarttags" w:element="PlaceName">
          <w:r w:rsidRPr="009B6E0D">
            <w:rPr>
              <w:sz w:val="19"/>
              <w:szCs w:val="19"/>
            </w:rPr>
            <w:t>Accessory</w:t>
          </w:r>
        </w:smartTag>
        <w:r w:rsidRPr="009B6E0D">
          <w:rPr>
            <w:sz w:val="19"/>
            <w:szCs w:val="19"/>
          </w:rPr>
          <w:t xml:space="preserve"> </w:t>
        </w:r>
        <w:smartTag w:uri="urn:schemas-microsoft-com:office:smarttags" w:element="PlaceType">
          <w:r w:rsidRPr="009B6E0D">
            <w:rPr>
              <w:sz w:val="19"/>
              <w:szCs w:val="19"/>
            </w:rPr>
            <w:t>Land</w:t>
          </w:r>
        </w:smartTag>
      </w:smartTag>
      <w:r w:rsidRPr="009B6E0D">
        <w:rPr>
          <w:sz w:val="19"/>
          <w:szCs w:val="19"/>
        </w:rPr>
        <w:t xml:space="preserve"> with Improvement</w:t>
      </w:r>
    </w:p>
    <w:p w:rsidR="00E6542E" w:rsidRDefault="00E6542E" w:rsidP="00E6542E">
      <w:pPr>
        <w:pStyle w:val="BodyText"/>
        <w:ind w:left="2886"/>
        <w:jc w:val="left"/>
        <w:rPr>
          <w:sz w:val="19"/>
          <w:szCs w:val="19"/>
        </w:rPr>
      </w:pPr>
      <w:r w:rsidRPr="009B6E0D">
        <w:rPr>
          <w:sz w:val="19"/>
          <w:szCs w:val="19"/>
        </w:rPr>
        <w:t>109</w:t>
      </w:r>
      <w:r w:rsidRPr="009B6E0D">
        <w:rPr>
          <w:sz w:val="19"/>
          <w:szCs w:val="19"/>
        </w:rPr>
        <w:tab/>
      </w:r>
      <w:r w:rsidRPr="009B6E0D">
        <w:rPr>
          <w:sz w:val="19"/>
          <w:szCs w:val="19"/>
        </w:rPr>
        <w:tab/>
        <w:t>Multiple Houses on One Parcel</w:t>
      </w:r>
    </w:p>
    <w:p w:rsidR="00AC0A40" w:rsidRPr="009B6E0D" w:rsidRDefault="00AC0A40" w:rsidP="00E6542E">
      <w:pPr>
        <w:pStyle w:val="BodyText"/>
        <w:ind w:left="2886"/>
        <w:jc w:val="left"/>
        <w:rPr>
          <w:sz w:val="19"/>
          <w:szCs w:val="19"/>
        </w:rPr>
      </w:pPr>
    </w:p>
    <w:p w:rsidR="00E6542E" w:rsidRPr="009B6E0D" w:rsidRDefault="00E6542E" w:rsidP="00E6542E">
      <w:pPr>
        <w:pStyle w:val="BodyText"/>
        <w:jc w:val="left"/>
        <w:rPr>
          <w:sz w:val="19"/>
          <w:szCs w:val="19"/>
          <w:u w:val="single"/>
        </w:rPr>
      </w:pPr>
      <w:r w:rsidRPr="009B6E0D">
        <w:rPr>
          <w:sz w:val="19"/>
          <w:szCs w:val="19"/>
        </w:rPr>
        <w:tab/>
        <w:t xml:space="preserve">   </w:t>
      </w:r>
      <w:r w:rsidRPr="009B6E0D">
        <w:rPr>
          <w:sz w:val="19"/>
          <w:szCs w:val="19"/>
          <w:u w:val="single"/>
        </w:rPr>
        <w:t>Apartments</w:t>
      </w:r>
    </w:p>
    <w:p w:rsidR="00E6542E" w:rsidRPr="009B6E0D" w:rsidRDefault="00E6542E" w:rsidP="00E6542E">
      <w:pPr>
        <w:pStyle w:val="BodyText"/>
        <w:ind w:left="2886"/>
        <w:jc w:val="left"/>
        <w:rPr>
          <w:sz w:val="19"/>
          <w:szCs w:val="19"/>
        </w:rPr>
      </w:pPr>
      <w:r w:rsidRPr="009B6E0D">
        <w:rPr>
          <w:sz w:val="19"/>
          <w:szCs w:val="19"/>
        </w:rPr>
        <w:t>111</w:t>
      </w:r>
      <w:r w:rsidRPr="009B6E0D">
        <w:rPr>
          <w:sz w:val="19"/>
          <w:szCs w:val="19"/>
        </w:rPr>
        <w:tab/>
      </w:r>
      <w:r w:rsidRPr="009B6E0D">
        <w:rPr>
          <w:sz w:val="19"/>
          <w:szCs w:val="19"/>
        </w:rPr>
        <w:tab/>
        <w:t>Four to Eight Units</w:t>
      </w:r>
    </w:p>
    <w:p w:rsidR="00E6542E" w:rsidRDefault="00E6542E" w:rsidP="00E6542E">
      <w:pPr>
        <w:pStyle w:val="BodyText"/>
        <w:ind w:left="2886"/>
        <w:jc w:val="left"/>
        <w:rPr>
          <w:sz w:val="19"/>
          <w:szCs w:val="19"/>
        </w:rPr>
      </w:pPr>
      <w:r w:rsidRPr="009B6E0D">
        <w:rPr>
          <w:sz w:val="19"/>
          <w:szCs w:val="19"/>
        </w:rPr>
        <w:t>112</w:t>
      </w:r>
      <w:r w:rsidRPr="009B6E0D">
        <w:rPr>
          <w:sz w:val="19"/>
          <w:szCs w:val="19"/>
        </w:rPr>
        <w:tab/>
      </w:r>
      <w:r w:rsidRPr="009B6E0D">
        <w:rPr>
          <w:sz w:val="19"/>
          <w:szCs w:val="19"/>
        </w:rPr>
        <w:tab/>
        <w:t>More Than Eight Units</w:t>
      </w:r>
    </w:p>
    <w:p w:rsidR="00AC0A40" w:rsidRPr="009B6E0D" w:rsidRDefault="00AC0A40" w:rsidP="00E6542E">
      <w:pPr>
        <w:pStyle w:val="BodyText"/>
        <w:ind w:left="2886"/>
        <w:jc w:val="left"/>
        <w:rPr>
          <w:sz w:val="19"/>
          <w:szCs w:val="19"/>
        </w:rPr>
      </w:pPr>
    </w:p>
    <w:p w:rsidR="00E6542E" w:rsidRPr="009B6E0D" w:rsidRDefault="00E6542E" w:rsidP="00E6542E">
      <w:pPr>
        <w:pStyle w:val="BodyText"/>
        <w:jc w:val="left"/>
        <w:rPr>
          <w:sz w:val="19"/>
          <w:szCs w:val="19"/>
          <w:u w:val="single"/>
        </w:rPr>
      </w:pPr>
      <w:r w:rsidRPr="009B6E0D">
        <w:rPr>
          <w:sz w:val="19"/>
          <w:szCs w:val="19"/>
        </w:rPr>
        <w:tab/>
        <w:t xml:space="preserve">  </w:t>
      </w:r>
      <w:r w:rsidRPr="009B6E0D">
        <w:rPr>
          <w:sz w:val="19"/>
          <w:szCs w:val="19"/>
          <w:u w:val="single"/>
        </w:rPr>
        <w:t>Non-Transient Group Quarters</w:t>
      </w:r>
    </w:p>
    <w:p w:rsidR="00E6542E" w:rsidRDefault="001B2953" w:rsidP="00E6542E">
      <w:pPr>
        <w:pStyle w:val="BodyText"/>
        <w:numPr>
          <w:ilvl w:val="0"/>
          <w:numId w:val="15"/>
        </w:numPr>
        <w:jc w:val="left"/>
        <w:rPr>
          <w:sz w:val="19"/>
          <w:szCs w:val="19"/>
        </w:rPr>
      </w:pPr>
      <w:r w:rsidRPr="009B6E0D">
        <w:rPr>
          <w:sz w:val="19"/>
          <w:szCs w:val="19"/>
        </w:rPr>
        <w:t>Other Congregate Housing</w:t>
      </w:r>
    </w:p>
    <w:p w:rsidR="00AC0A40" w:rsidRPr="009B6E0D" w:rsidRDefault="00AC0A40" w:rsidP="00E6542E">
      <w:pPr>
        <w:pStyle w:val="BodyText"/>
        <w:numPr>
          <w:ilvl w:val="0"/>
          <w:numId w:val="15"/>
        </w:numPr>
        <w:jc w:val="left"/>
        <w:rPr>
          <w:sz w:val="19"/>
          <w:szCs w:val="19"/>
        </w:rPr>
      </w:pPr>
    </w:p>
    <w:p w:rsidR="00AC0A40" w:rsidRDefault="00AC0A40" w:rsidP="00E6542E">
      <w:pPr>
        <w:pStyle w:val="BodyText"/>
        <w:ind w:left="2160"/>
        <w:jc w:val="left"/>
        <w:rPr>
          <w:sz w:val="19"/>
          <w:szCs w:val="19"/>
        </w:rPr>
      </w:pPr>
    </w:p>
    <w:p w:rsidR="00E6542E" w:rsidRPr="009B6E0D" w:rsidRDefault="00E6542E" w:rsidP="00E6542E">
      <w:pPr>
        <w:pStyle w:val="BodyText"/>
        <w:ind w:left="2160"/>
        <w:jc w:val="left"/>
        <w:rPr>
          <w:sz w:val="19"/>
          <w:szCs w:val="19"/>
        </w:rPr>
      </w:pPr>
      <w:r w:rsidRPr="009B6E0D">
        <w:rPr>
          <w:sz w:val="19"/>
          <w:szCs w:val="19"/>
        </w:rPr>
        <w:t xml:space="preserve">  </w:t>
      </w:r>
      <w:r w:rsidRPr="009B6E0D">
        <w:rPr>
          <w:sz w:val="19"/>
          <w:szCs w:val="19"/>
          <w:u w:val="single"/>
        </w:rPr>
        <w:t>Vacant Land in a Residential Zone or Accessory to Residential Parcel</w:t>
      </w:r>
    </w:p>
    <w:p w:rsidR="00E6542E" w:rsidRPr="009B6E0D" w:rsidRDefault="00E6542E" w:rsidP="00E6542E">
      <w:pPr>
        <w:pStyle w:val="BodyText"/>
        <w:numPr>
          <w:ilvl w:val="0"/>
          <w:numId w:val="16"/>
        </w:numPr>
        <w:jc w:val="left"/>
        <w:rPr>
          <w:sz w:val="19"/>
          <w:szCs w:val="19"/>
        </w:rPr>
      </w:pPr>
      <w:r w:rsidRPr="009B6E0D">
        <w:rPr>
          <w:sz w:val="19"/>
          <w:szCs w:val="19"/>
        </w:rPr>
        <w:t>Developable Land</w:t>
      </w:r>
    </w:p>
    <w:p w:rsidR="00E6542E" w:rsidRPr="009B6E0D" w:rsidRDefault="00E6542E" w:rsidP="00E6542E">
      <w:pPr>
        <w:pStyle w:val="BodyText"/>
        <w:numPr>
          <w:ilvl w:val="0"/>
          <w:numId w:val="16"/>
        </w:numPr>
        <w:jc w:val="left"/>
        <w:rPr>
          <w:sz w:val="19"/>
          <w:szCs w:val="19"/>
        </w:rPr>
      </w:pPr>
      <w:r w:rsidRPr="009B6E0D">
        <w:rPr>
          <w:sz w:val="19"/>
          <w:szCs w:val="19"/>
        </w:rPr>
        <w:t>Potentially Developable Land</w:t>
      </w:r>
    </w:p>
    <w:p w:rsidR="00E6542E" w:rsidRPr="009B6E0D" w:rsidRDefault="00E6542E" w:rsidP="00E6542E">
      <w:pPr>
        <w:pStyle w:val="BodyText"/>
        <w:numPr>
          <w:ilvl w:val="0"/>
          <w:numId w:val="16"/>
        </w:numPr>
        <w:jc w:val="left"/>
        <w:rPr>
          <w:sz w:val="19"/>
          <w:szCs w:val="19"/>
        </w:rPr>
      </w:pPr>
      <w:r w:rsidRPr="009B6E0D">
        <w:rPr>
          <w:sz w:val="19"/>
          <w:szCs w:val="19"/>
        </w:rPr>
        <w:t>Undevelopable Land</w:t>
      </w:r>
    </w:p>
    <w:p w:rsidR="00AC0A40" w:rsidRDefault="00E6542E" w:rsidP="00E6542E">
      <w:pPr>
        <w:pStyle w:val="BodyText"/>
        <w:ind w:left="2160"/>
        <w:jc w:val="left"/>
        <w:rPr>
          <w:sz w:val="19"/>
          <w:szCs w:val="19"/>
        </w:rPr>
      </w:pPr>
      <w:r w:rsidRPr="009B6E0D">
        <w:rPr>
          <w:sz w:val="19"/>
          <w:szCs w:val="19"/>
        </w:rPr>
        <w:t xml:space="preserve">  </w:t>
      </w:r>
    </w:p>
    <w:p w:rsidR="00E6542E" w:rsidRPr="009B6E0D" w:rsidRDefault="00AC0A40" w:rsidP="00E6542E">
      <w:pPr>
        <w:pStyle w:val="BodyText"/>
        <w:ind w:left="2160"/>
        <w:jc w:val="left"/>
        <w:rPr>
          <w:sz w:val="19"/>
          <w:szCs w:val="19"/>
        </w:rPr>
      </w:pPr>
      <w:r>
        <w:rPr>
          <w:sz w:val="19"/>
          <w:szCs w:val="19"/>
        </w:rPr>
        <w:t xml:space="preserve">  </w:t>
      </w:r>
      <w:r w:rsidR="00E6542E" w:rsidRPr="009B6E0D">
        <w:rPr>
          <w:sz w:val="19"/>
          <w:szCs w:val="19"/>
          <w:u w:val="single"/>
        </w:rPr>
        <w:t>Other</w:t>
      </w:r>
    </w:p>
    <w:p w:rsidR="00E6542E" w:rsidRPr="009B6E0D" w:rsidRDefault="00E6542E" w:rsidP="00E6542E">
      <w:pPr>
        <w:pStyle w:val="BodyText"/>
        <w:numPr>
          <w:ilvl w:val="0"/>
          <w:numId w:val="17"/>
        </w:numPr>
        <w:jc w:val="left"/>
        <w:rPr>
          <w:sz w:val="19"/>
          <w:szCs w:val="19"/>
        </w:rPr>
      </w:pPr>
      <w:r w:rsidRPr="009B6E0D">
        <w:rPr>
          <w:sz w:val="19"/>
          <w:szCs w:val="19"/>
        </w:rPr>
        <w:t>Child Care Facility</w:t>
      </w:r>
    </w:p>
    <w:p w:rsidR="00E6542E" w:rsidRPr="009B6E0D" w:rsidRDefault="00E6542E" w:rsidP="00E6542E">
      <w:pPr>
        <w:pStyle w:val="BodyText"/>
        <w:jc w:val="left"/>
        <w:rPr>
          <w:sz w:val="19"/>
          <w:szCs w:val="19"/>
        </w:rPr>
      </w:pPr>
    </w:p>
    <w:p w:rsidR="00E6542E" w:rsidRPr="009B6E0D" w:rsidRDefault="00FC2AAE" w:rsidP="00FC2AAE">
      <w:pPr>
        <w:pStyle w:val="BodyText"/>
        <w:ind w:left="2160"/>
        <w:jc w:val="left"/>
        <w:rPr>
          <w:sz w:val="19"/>
          <w:szCs w:val="19"/>
        </w:rPr>
      </w:pPr>
      <w:r w:rsidRPr="009B6E0D">
        <w:rPr>
          <w:sz w:val="19"/>
          <w:szCs w:val="19"/>
        </w:rPr>
        <w:t xml:space="preserve">  </w:t>
      </w:r>
      <w:r w:rsidRPr="009B6E0D">
        <w:rPr>
          <w:sz w:val="19"/>
          <w:szCs w:val="19"/>
          <w:u w:val="single"/>
        </w:rPr>
        <w:t>Open Space</w:t>
      </w:r>
    </w:p>
    <w:p w:rsidR="006561D5" w:rsidRPr="009B6E0D" w:rsidRDefault="006561D5" w:rsidP="006561D5">
      <w:pPr>
        <w:pStyle w:val="BodyText"/>
        <w:numPr>
          <w:ilvl w:val="1"/>
          <w:numId w:val="22"/>
        </w:numPr>
        <w:jc w:val="left"/>
        <w:rPr>
          <w:sz w:val="19"/>
          <w:szCs w:val="19"/>
        </w:rPr>
      </w:pPr>
      <w:smartTag w:uri="urn:schemas-microsoft-com:office:smarttags" w:element="place">
        <w:smartTag w:uri="urn:schemas-microsoft-com:office:smarttags" w:element="PlaceName">
          <w:r w:rsidRPr="009B6E0D">
            <w:rPr>
              <w:sz w:val="19"/>
              <w:szCs w:val="19"/>
            </w:rPr>
            <w:t>Open</w:t>
          </w:r>
        </w:smartTag>
        <w:r w:rsidRPr="009B6E0D">
          <w:rPr>
            <w:sz w:val="19"/>
            <w:szCs w:val="19"/>
          </w:rPr>
          <w:t xml:space="preserve"> </w:t>
        </w:r>
        <w:smartTag w:uri="urn:schemas-microsoft-com:office:smarttags" w:element="PlaceType">
          <w:r w:rsidRPr="009B6E0D">
            <w:rPr>
              <w:sz w:val="19"/>
              <w:szCs w:val="19"/>
            </w:rPr>
            <w:t>Land</w:t>
          </w:r>
        </w:smartTag>
      </w:smartTag>
      <w:r w:rsidRPr="009B6E0D">
        <w:rPr>
          <w:sz w:val="19"/>
          <w:szCs w:val="19"/>
        </w:rPr>
        <w:t xml:space="preserve"> in Residential Area</w:t>
      </w:r>
    </w:p>
    <w:p w:rsidR="006561D5" w:rsidRPr="009B6E0D" w:rsidRDefault="006561D5" w:rsidP="006561D5">
      <w:pPr>
        <w:pStyle w:val="BodyText"/>
        <w:ind w:left="2880"/>
        <w:jc w:val="left"/>
        <w:rPr>
          <w:sz w:val="19"/>
          <w:szCs w:val="19"/>
        </w:rPr>
      </w:pPr>
      <w:r w:rsidRPr="009B6E0D">
        <w:rPr>
          <w:sz w:val="19"/>
          <w:szCs w:val="19"/>
        </w:rPr>
        <w:t>210-211</w:t>
      </w:r>
      <w:r w:rsidRPr="009B6E0D">
        <w:rPr>
          <w:sz w:val="19"/>
          <w:szCs w:val="19"/>
        </w:rPr>
        <w:tab/>
      </w:r>
      <w:r w:rsidRPr="009B6E0D">
        <w:rPr>
          <w:sz w:val="19"/>
          <w:szCs w:val="19"/>
        </w:rPr>
        <w:tab/>
      </w:r>
      <w:smartTag w:uri="urn:schemas-microsoft-com:office:smarttags" w:element="place">
        <w:smartTag w:uri="urn:schemas-microsoft-com:office:smarttags" w:element="PlaceName">
          <w:r w:rsidRPr="009B6E0D">
            <w:rPr>
              <w:sz w:val="19"/>
              <w:szCs w:val="19"/>
            </w:rPr>
            <w:t>Open</w:t>
          </w:r>
        </w:smartTag>
        <w:r w:rsidRPr="009B6E0D">
          <w:rPr>
            <w:sz w:val="19"/>
            <w:szCs w:val="19"/>
          </w:rPr>
          <w:t xml:space="preserve"> </w:t>
        </w:r>
        <w:smartTag w:uri="urn:schemas-microsoft-com:office:smarttags" w:element="PlaceType">
          <w:r w:rsidRPr="009B6E0D">
            <w:rPr>
              <w:sz w:val="19"/>
              <w:szCs w:val="19"/>
            </w:rPr>
            <w:t>Land</w:t>
          </w:r>
        </w:smartTag>
      </w:smartTag>
      <w:r w:rsidRPr="009B6E0D">
        <w:rPr>
          <w:sz w:val="19"/>
          <w:szCs w:val="19"/>
        </w:rPr>
        <w:t xml:space="preserve"> in Rural Area</w:t>
      </w:r>
    </w:p>
    <w:p w:rsidR="006561D5" w:rsidRPr="009B6E0D" w:rsidRDefault="006561D5" w:rsidP="006561D5">
      <w:pPr>
        <w:pStyle w:val="BodyText"/>
        <w:ind w:left="2880"/>
        <w:jc w:val="left"/>
        <w:rPr>
          <w:sz w:val="19"/>
          <w:szCs w:val="19"/>
        </w:rPr>
      </w:pPr>
      <w:r w:rsidRPr="009B6E0D">
        <w:rPr>
          <w:sz w:val="19"/>
          <w:szCs w:val="19"/>
        </w:rPr>
        <w:t>220-221</w:t>
      </w:r>
      <w:r w:rsidRPr="009B6E0D">
        <w:rPr>
          <w:sz w:val="19"/>
          <w:szCs w:val="19"/>
        </w:rPr>
        <w:tab/>
      </w:r>
      <w:r w:rsidRPr="009B6E0D">
        <w:rPr>
          <w:sz w:val="19"/>
          <w:szCs w:val="19"/>
        </w:rPr>
        <w:tab/>
      </w:r>
      <w:smartTag w:uri="urn:schemas-microsoft-com:office:smarttags" w:element="place">
        <w:smartTag w:uri="urn:schemas-microsoft-com:office:smarttags" w:element="PlaceName">
          <w:r w:rsidRPr="009B6E0D">
            <w:rPr>
              <w:sz w:val="19"/>
              <w:szCs w:val="19"/>
            </w:rPr>
            <w:t>Open</w:t>
          </w:r>
        </w:smartTag>
        <w:r w:rsidRPr="009B6E0D">
          <w:rPr>
            <w:sz w:val="19"/>
            <w:szCs w:val="19"/>
          </w:rPr>
          <w:t xml:space="preserve"> </w:t>
        </w:r>
        <w:smartTag w:uri="urn:schemas-microsoft-com:office:smarttags" w:element="PlaceType">
          <w:r w:rsidRPr="009B6E0D">
            <w:rPr>
              <w:sz w:val="19"/>
              <w:szCs w:val="19"/>
            </w:rPr>
            <w:t>Land</w:t>
          </w:r>
        </w:smartTag>
      </w:smartTag>
      <w:r w:rsidRPr="009B6E0D">
        <w:rPr>
          <w:sz w:val="19"/>
          <w:szCs w:val="19"/>
        </w:rPr>
        <w:t xml:space="preserve"> in Commercial Area</w:t>
      </w:r>
    </w:p>
    <w:p w:rsidR="00FC2AAE" w:rsidRPr="009B6E0D" w:rsidRDefault="00FC2AAE" w:rsidP="00FC2AAE">
      <w:pPr>
        <w:pStyle w:val="BodyText"/>
        <w:ind w:left="2160"/>
        <w:jc w:val="left"/>
        <w:rPr>
          <w:sz w:val="19"/>
          <w:szCs w:val="19"/>
        </w:rPr>
      </w:pPr>
    </w:p>
    <w:p w:rsidR="00FC2AAE" w:rsidRPr="009B6E0D" w:rsidRDefault="00FC2AAE" w:rsidP="00FC2AAE">
      <w:pPr>
        <w:pStyle w:val="BodyText"/>
        <w:ind w:left="2160"/>
        <w:jc w:val="left"/>
        <w:rPr>
          <w:sz w:val="19"/>
          <w:szCs w:val="19"/>
        </w:rPr>
      </w:pPr>
      <w:r w:rsidRPr="009B6E0D">
        <w:rPr>
          <w:sz w:val="19"/>
          <w:szCs w:val="19"/>
        </w:rPr>
        <w:t xml:space="preserve">  </w:t>
      </w:r>
      <w:r w:rsidRPr="009B6E0D">
        <w:rPr>
          <w:sz w:val="19"/>
          <w:szCs w:val="19"/>
          <w:u w:val="single"/>
        </w:rPr>
        <w:t>Commercial</w:t>
      </w:r>
    </w:p>
    <w:p w:rsidR="006561D5" w:rsidRPr="009B6E0D" w:rsidRDefault="006561D5" w:rsidP="006561D5">
      <w:pPr>
        <w:pStyle w:val="BodyText"/>
        <w:numPr>
          <w:ilvl w:val="1"/>
          <w:numId w:val="24"/>
        </w:numPr>
        <w:jc w:val="left"/>
        <w:rPr>
          <w:sz w:val="19"/>
          <w:szCs w:val="19"/>
        </w:rPr>
      </w:pPr>
      <w:r w:rsidRPr="009B6E0D">
        <w:rPr>
          <w:sz w:val="19"/>
          <w:szCs w:val="19"/>
        </w:rPr>
        <w:t xml:space="preserve">Transient Group Quarters, Warehouse and Distribution </w:t>
      </w:r>
    </w:p>
    <w:p w:rsidR="006561D5" w:rsidRPr="009B6E0D" w:rsidRDefault="006561D5" w:rsidP="006561D5">
      <w:pPr>
        <w:pStyle w:val="BodyText"/>
        <w:ind w:left="3600" w:firstLine="720"/>
        <w:jc w:val="left"/>
        <w:rPr>
          <w:sz w:val="19"/>
          <w:szCs w:val="19"/>
        </w:rPr>
      </w:pPr>
      <w:r w:rsidRPr="009B6E0D">
        <w:rPr>
          <w:sz w:val="19"/>
          <w:szCs w:val="19"/>
        </w:rPr>
        <w:t xml:space="preserve">Facilities, Retail, </w:t>
      </w:r>
      <w:smartTag w:uri="urn:schemas-microsoft-com:office:smarttags" w:element="place">
        <w:smartTag w:uri="urn:schemas-microsoft-com:office:smarttags" w:element="PlaceName">
          <w:r w:rsidRPr="009B6E0D">
            <w:rPr>
              <w:sz w:val="19"/>
              <w:szCs w:val="19"/>
            </w:rPr>
            <w:t>Office</w:t>
          </w:r>
        </w:smartTag>
        <w:r w:rsidRPr="009B6E0D">
          <w:rPr>
            <w:sz w:val="19"/>
            <w:szCs w:val="19"/>
          </w:rPr>
          <w:t xml:space="preserve"> </w:t>
        </w:r>
        <w:smartTag w:uri="urn:schemas-microsoft-com:office:smarttags" w:element="PlaceType">
          <w:r w:rsidRPr="009B6E0D">
            <w:rPr>
              <w:sz w:val="19"/>
              <w:szCs w:val="19"/>
            </w:rPr>
            <w:t>Buildings</w:t>
          </w:r>
        </w:smartTag>
      </w:smartTag>
      <w:r w:rsidRPr="009B6E0D">
        <w:rPr>
          <w:sz w:val="19"/>
          <w:szCs w:val="19"/>
        </w:rPr>
        <w:t xml:space="preserve">, Public Service and </w:t>
      </w:r>
    </w:p>
    <w:p w:rsidR="00FC2AAE" w:rsidRPr="009B6E0D" w:rsidRDefault="006561D5" w:rsidP="006561D5">
      <w:pPr>
        <w:pStyle w:val="BodyText"/>
        <w:ind w:left="3600" w:firstLine="720"/>
        <w:jc w:val="left"/>
        <w:rPr>
          <w:sz w:val="19"/>
          <w:szCs w:val="19"/>
        </w:rPr>
      </w:pPr>
      <w:r w:rsidRPr="009B6E0D">
        <w:rPr>
          <w:sz w:val="19"/>
          <w:szCs w:val="19"/>
        </w:rPr>
        <w:t>Recreational</w:t>
      </w:r>
    </w:p>
    <w:p w:rsidR="00FC2AAE" w:rsidRPr="009B6E0D" w:rsidRDefault="00FC2AAE" w:rsidP="00FC2AAE">
      <w:pPr>
        <w:pStyle w:val="BodyText"/>
        <w:ind w:left="2160"/>
        <w:jc w:val="left"/>
        <w:rPr>
          <w:sz w:val="19"/>
          <w:szCs w:val="19"/>
        </w:rPr>
      </w:pPr>
    </w:p>
    <w:p w:rsidR="00FC2AAE" w:rsidRPr="009B6E0D" w:rsidRDefault="00FC2AAE" w:rsidP="00FC2AAE">
      <w:pPr>
        <w:pStyle w:val="BodyText"/>
        <w:ind w:left="2160"/>
        <w:jc w:val="left"/>
        <w:rPr>
          <w:sz w:val="19"/>
          <w:szCs w:val="19"/>
        </w:rPr>
      </w:pPr>
      <w:r w:rsidRPr="009B6E0D">
        <w:rPr>
          <w:sz w:val="19"/>
          <w:szCs w:val="19"/>
        </w:rPr>
        <w:t xml:space="preserve">  </w:t>
      </w:r>
      <w:r w:rsidRPr="009B6E0D">
        <w:rPr>
          <w:sz w:val="19"/>
          <w:szCs w:val="19"/>
          <w:u w:val="single"/>
        </w:rPr>
        <w:t>Industrial</w:t>
      </w:r>
    </w:p>
    <w:p w:rsidR="00FC2AAE" w:rsidRPr="009B6E0D" w:rsidRDefault="00FC2AAE" w:rsidP="00FC2AAE">
      <w:pPr>
        <w:pStyle w:val="BodyText"/>
        <w:ind w:left="2160"/>
        <w:jc w:val="left"/>
        <w:rPr>
          <w:sz w:val="19"/>
          <w:szCs w:val="19"/>
        </w:rPr>
      </w:pPr>
      <w:r w:rsidRPr="009B6E0D">
        <w:rPr>
          <w:sz w:val="19"/>
          <w:szCs w:val="19"/>
        </w:rPr>
        <w:tab/>
        <w:t>400-452</w:t>
      </w:r>
      <w:r w:rsidR="006561D5" w:rsidRPr="009B6E0D">
        <w:rPr>
          <w:sz w:val="19"/>
          <w:szCs w:val="19"/>
        </w:rPr>
        <w:tab/>
      </w:r>
      <w:r w:rsidR="006561D5" w:rsidRPr="009B6E0D">
        <w:rPr>
          <w:sz w:val="19"/>
          <w:szCs w:val="19"/>
        </w:rPr>
        <w:tab/>
        <w:t>Manufacturing, Utilities, Mining</w:t>
      </w:r>
    </w:p>
    <w:p w:rsidR="00FC2AAE" w:rsidRPr="009B6E0D" w:rsidRDefault="00FC2AAE" w:rsidP="00FC2AAE">
      <w:pPr>
        <w:pStyle w:val="BodyText"/>
        <w:ind w:left="2160"/>
        <w:jc w:val="left"/>
        <w:rPr>
          <w:sz w:val="19"/>
          <w:szCs w:val="19"/>
        </w:rPr>
      </w:pPr>
    </w:p>
    <w:p w:rsidR="00FC2AAE" w:rsidRPr="009B6E0D" w:rsidRDefault="00FC2AAE" w:rsidP="00FC2AAE">
      <w:pPr>
        <w:pStyle w:val="BodyText"/>
        <w:ind w:left="2160"/>
        <w:jc w:val="left"/>
        <w:rPr>
          <w:sz w:val="19"/>
          <w:szCs w:val="19"/>
          <w:u w:val="single"/>
        </w:rPr>
      </w:pPr>
      <w:r w:rsidRPr="009B6E0D">
        <w:rPr>
          <w:sz w:val="19"/>
          <w:szCs w:val="19"/>
        </w:rPr>
        <w:t xml:space="preserve">  </w:t>
      </w:r>
      <w:r w:rsidRPr="009B6E0D">
        <w:rPr>
          <w:sz w:val="19"/>
          <w:szCs w:val="19"/>
          <w:u w:val="single"/>
        </w:rPr>
        <w:t>Personal Property</w:t>
      </w:r>
    </w:p>
    <w:p w:rsidR="00FC2AAE" w:rsidRPr="009B6E0D" w:rsidRDefault="00124884" w:rsidP="00FC2AAE">
      <w:pPr>
        <w:pStyle w:val="BodyText"/>
        <w:ind w:left="2160"/>
        <w:jc w:val="left"/>
        <w:rPr>
          <w:sz w:val="19"/>
          <w:szCs w:val="19"/>
        </w:rPr>
      </w:pPr>
      <w:r w:rsidRPr="009B6E0D">
        <w:rPr>
          <w:sz w:val="19"/>
          <w:szCs w:val="19"/>
        </w:rPr>
        <w:tab/>
        <w:t>501-552</w:t>
      </w:r>
    </w:p>
    <w:p w:rsidR="00124884" w:rsidRPr="009B6E0D" w:rsidRDefault="00124884" w:rsidP="00FC2AAE">
      <w:pPr>
        <w:pStyle w:val="BodyText"/>
        <w:ind w:left="2160"/>
        <w:jc w:val="left"/>
        <w:rPr>
          <w:sz w:val="19"/>
          <w:szCs w:val="19"/>
        </w:rPr>
      </w:pPr>
    </w:p>
    <w:p w:rsidR="00124884" w:rsidRPr="009B6E0D" w:rsidRDefault="00124884" w:rsidP="00FC2AAE">
      <w:pPr>
        <w:pStyle w:val="BodyText"/>
        <w:ind w:left="2160"/>
        <w:jc w:val="left"/>
        <w:rPr>
          <w:sz w:val="19"/>
          <w:szCs w:val="19"/>
          <w:u w:val="single"/>
        </w:rPr>
      </w:pPr>
      <w:r w:rsidRPr="009B6E0D">
        <w:rPr>
          <w:sz w:val="19"/>
          <w:szCs w:val="19"/>
        </w:rPr>
        <w:t xml:space="preserve">  </w:t>
      </w:r>
      <w:smartTag w:uri="urn:schemas-microsoft-com:office:smarttags" w:element="place">
        <w:smartTag w:uri="urn:schemas-microsoft-com:office:smarttags" w:element="PlaceType">
          <w:r w:rsidRPr="009B6E0D">
            <w:rPr>
              <w:sz w:val="19"/>
              <w:szCs w:val="19"/>
              <w:u w:val="single"/>
            </w:rPr>
            <w:t>Forest</w:t>
          </w:r>
        </w:smartTag>
        <w:r w:rsidRPr="009B6E0D">
          <w:rPr>
            <w:sz w:val="19"/>
            <w:szCs w:val="19"/>
            <w:u w:val="single"/>
          </w:rPr>
          <w:t xml:space="preserve"> </w:t>
        </w:r>
        <w:smartTag w:uri="urn:schemas-microsoft-com:office:smarttags" w:element="PlaceType">
          <w:r w:rsidRPr="009B6E0D">
            <w:rPr>
              <w:sz w:val="19"/>
              <w:szCs w:val="19"/>
              <w:u w:val="single"/>
            </w:rPr>
            <w:t>Land</w:t>
          </w:r>
        </w:smartTag>
      </w:smartTag>
      <w:r w:rsidRPr="009B6E0D">
        <w:rPr>
          <w:sz w:val="19"/>
          <w:szCs w:val="19"/>
          <w:u w:val="single"/>
        </w:rPr>
        <w:t xml:space="preserve"> (CH 61), Agricultural/Horticultural (CH 61A), </w:t>
      </w:r>
    </w:p>
    <w:p w:rsidR="00124884" w:rsidRPr="009B6E0D" w:rsidRDefault="00124884" w:rsidP="00FC2AAE">
      <w:pPr>
        <w:pStyle w:val="BodyText"/>
        <w:ind w:left="2160"/>
        <w:jc w:val="left"/>
        <w:rPr>
          <w:sz w:val="19"/>
          <w:szCs w:val="19"/>
          <w:u w:val="single"/>
        </w:rPr>
      </w:pPr>
      <w:r w:rsidRPr="009B6E0D">
        <w:rPr>
          <w:sz w:val="19"/>
          <w:szCs w:val="19"/>
        </w:rPr>
        <w:t xml:space="preserve">       </w:t>
      </w:r>
      <w:r w:rsidRPr="009B6E0D">
        <w:rPr>
          <w:sz w:val="19"/>
          <w:szCs w:val="19"/>
          <w:u w:val="single"/>
        </w:rPr>
        <w:t>Recreational CH 61B)</w:t>
      </w:r>
    </w:p>
    <w:p w:rsidR="00124884" w:rsidRPr="009B6E0D" w:rsidRDefault="006561D5" w:rsidP="006561D5">
      <w:pPr>
        <w:pStyle w:val="BodyText"/>
        <w:numPr>
          <w:ilvl w:val="0"/>
          <w:numId w:val="25"/>
        </w:numPr>
        <w:jc w:val="left"/>
        <w:rPr>
          <w:sz w:val="19"/>
          <w:szCs w:val="19"/>
        </w:rPr>
      </w:pPr>
      <w:smartTag w:uri="urn:schemas-microsoft-com:office:smarttags" w:element="place">
        <w:smartTag w:uri="urn:schemas-microsoft-com:office:smarttags" w:element="PlaceType">
          <w:r w:rsidRPr="009B6E0D">
            <w:rPr>
              <w:sz w:val="19"/>
              <w:szCs w:val="19"/>
            </w:rPr>
            <w:t>Forest</w:t>
          </w:r>
        </w:smartTag>
        <w:r w:rsidRPr="009B6E0D">
          <w:rPr>
            <w:sz w:val="19"/>
            <w:szCs w:val="19"/>
          </w:rPr>
          <w:t xml:space="preserve"> </w:t>
        </w:r>
        <w:smartTag w:uri="urn:schemas-microsoft-com:office:smarttags" w:element="PlaceType">
          <w:r w:rsidRPr="009B6E0D">
            <w:rPr>
              <w:sz w:val="19"/>
              <w:szCs w:val="19"/>
            </w:rPr>
            <w:t>Land</w:t>
          </w:r>
        </w:smartTag>
      </w:smartTag>
    </w:p>
    <w:p w:rsidR="006561D5" w:rsidRPr="009B6E0D" w:rsidRDefault="006561D5" w:rsidP="006561D5">
      <w:pPr>
        <w:pStyle w:val="BodyText"/>
        <w:numPr>
          <w:ilvl w:val="1"/>
          <w:numId w:val="26"/>
        </w:numPr>
        <w:jc w:val="left"/>
        <w:rPr>
          <w:sz w:val="19"/>
          <w:szCs w:val="19"/>
        </w:rPr>
      </w:pPr>
      <w:r w:rsidRPr="009B6E0D">
        <w:rPr>
          <w:sz w:val="19"/>
          <w:szCs w:val="19"/>
        </w:rPr>
        <w:t>Agriculture/Horticulture Land</w:t>
      </w:r>
    </w:p>
    <w:p w:rsidR="006561D5" w:rsidRPr="009B6E0D" w:rsidRDefault="006561D5" w:rsidP="006561D5">
      <w:pPr>
        <w:pStyle w:val="BodyText"/>
        <w:ind w:left="2880"/>
        <w:jc w:val="left"/>
        <w:rPr>
          <w:sz w:val="19"/>
          <w:szCs w:val="19"/>
        </w:rPr>
      </w:pPr>
      <w:r w:rsidRPr="009B6E0D">
        <w:rPr>
          <w:sz w:val="19"/>
          <w:szCs w:val="19"/>
        </w:rPr>
        <w:t>801-814</w:t>
      </w:r>
      <w:r w:rsidRPr="009B6E0D">
        <w:rPr>
          <w:sz w:val="19"/>
          <w:szCs w:val="19"/>
        </w:rPr>
        <w:tab/>
      </w:r>
      <w:r w:rsidRPr="009B6E0D">
        <w:rPr>
          <w:sz w:val="19"/>
          <w:szCs w:val="19"/>
        </w:rPr>
        <w:tab/>
        <w:t>Recreational Land</w:t>
      </w:r>
    </w:p>
    <w:p w:rsidR="00124884" w:rsidRPr="009B6E0D" w:rsidRDefault="00124884" w:rsidP="00FC2AAE">
      <w:pPr>
        <w:pStyle w:val="BodyText"/>
        <w:ind w:left="2160"/>
        <w:jc w:val="left"/>
        <w:rPr>
          <w:sz w:val="19"/>
          <w:szCs w:val="19"/>
        </w:rPr>
      </w:pPr>
    </w:p>
    <w:p w:rsidR="00124884" w:rsidRPr="009B6E0D" w:rsidRDefault="00124884" w:rsidP="00FC2AAE">
      <w:pPr>
        <w:pStyle w:val="BodyText"/>
        <w:ind w:left="2160"/>
        <w:jc w:val="left"/>
        <w:rPr>
          <w:sz w:val="19"/>
          <w:szCs w:val="19"/>
        </w:rPr>
      </w:pPr>
      <w:r w:rsidRPr="009B6E0D">
        <w:rPr>
          <w:sz w:val="19"/>
          <w:szCs w:val="19"/>
        </w:rPr>
        <w:t xml:space="preserve">  </w:t>
      </w:r>
      <w:r w:rsidRPr="009B6E0D">
        <w:rPr>
          <w:sz w:val="19"/>
          <w:szCs w:val="19"/>
          <w:u w:val="single"/>
        </w:rPr>
        <w:t>Exempt</w:t>
      </w:r>
    </w:p>
    <w:p w:rsidR="00FC2AAE" w:rsidRPr="009B6E0D" w:rsidRDefault="007A1384" w:rsidP="00124884">
      <w:pPr>
        <w:pStyle w:val="BodyText"/>
        <w:ind w:left="3600" w:hanging="720"/>
        <w:jc w:val="left"/>
        <w:rPr>
          <w:sz w:val="19"/>
          <w:szCs w:val="19"/>
        </w:rPr>
      </w:pPr>
      <w:r w:rsidRPr="009B6E0D">
        <w:rPr>
          <w:sz w:val="19"/>
          <w:szCs w:val="19"/>
        </w:rPr>
        <w:t>900-939</w:t>
      </w:r>
      <w:r w:rsidR="006561D5" w:rsidRPr="009B6E0D">
        <w:rPr>
          <w:sz w:val="19"/>
          <w:szCs w:val="19"/>
        </w:rPr>
        <w:tab/>
      </w:r>
      <w:r w:rsidR="006561D5" w:rsidRPr="009B6E0D">
        <w:rPr>
          <w:sz w:val="19"/>
          <w:szCs w:val="19"/>
        </w:rPr>
        <w:tab/>
        <w:t>Government-owned, Educational, Charitable, Religious</w:t>
      </w:r>
    </w:p>
    <w:p w:rsidR="00D84C46" w:rsidRDefault="00FC2AAE" w:rsidP="00245D92">
      <w:pPr>
        <w:pStyle w:val="BodyText"/>
        <w:ind w:left="3600" w:hanging="1440"/>
        <w:jc w:val="left"/>
        <w:rPr>
          <w:sz w:val="20"/>
        </w:rPr>
      </w:pPr>
      <w:r w:rsidRPr="009B6E0D">
        <w:rPr>
          <w:sz w:val="20"/>
        </w:rPr>
        <w:tab/>
        <w:t xml:space="preserve">  </w:t>
      </w:r>
    </w:p>
    <w:p w:rsidR="00B622E1" w:rsidRDefault="00B622E1" w:rsidP="005C5A21">
      <w:pPr>
        <w:pStyle w:val="BodyText"/>
        <w:ind w:left="3600" w:hanging="5040"/>
        <w:jc w:val="right"/>
        <w:rPr>
          <w:sz w:val="20"/>
        </w:rPr>
      </w:pPr>
    </w:p>
    <w:p w:rsidR="00B622E1" w:rsidRDefault="00D84C46" w:rsidP="005C5A21">
      <w:pPr>
        <w:pStyle w:val="BodyText"/>
        <w:ind w:left="3600" w:hanging="5040"/>
        <w:jc w:val="right"/>
        <w:rPr>
          <w:noProof/>
        </w:rPr>
      </w:pPr>
      <w:r>
        <w:rPr>
          <w:sz w:val="20"/>
        </w:rPr>
        <w:br w:type="page"/>
      </w:r>
    </w:p>
    <w:p w:rsidR="00B622E1" w:rsidRDefault="00B622E1" w:rsidP="005C5A21">
      <w:pPr>
        <w:pStyle w:val="BodyText"/>
        <w:ind w:left="3600" w:hanging="5040"/>
        <w:jc w:val="right"/>
        <w:rPr>
          <w:noProof/>
        </w:rPr>
      </w:pPr>
    </w:p>
    <w:p w:rsidR="00B622E1" w:rsidRPr="00B622E1" w:rsidRDefault="00B622E1" w:rsidP="00B622E1">
      <w:pPr>
        <w:pStyle w:val="BodyText"/>
        <w:ind w:left="3600" w:hanging="5040"/>
        <w:jc w:val="center"/>
        <w:rPr>
          <w:b/>
          <w:noProof/>
        </w:rPr>
      </w:pPr>
      <w:r w:rsidRPr="00B622E1">
        <w:rPr>
          <w:b/>
          <w:noProof/>
        </w:rPr>
        <w:t>ADENNDUM # 2</w:t>
      </w:r>
    </w:p>
    <w:p w:rsidR="00B622E1" w:rsidRDefault="00B622E1" w:rsidP="00B622E1">
      <w:pPr>
        <w:pStyle w:val="BodyText"/>
        <w:ind w:left="3600" w:hanging="5040"/>
        <w:jc w:val="left"/>
        <w:rPr>
          <w:noProof/>
        </w:rPr>
      </w:pPr>
      <w:r>
        <w:rPr>
          <w:noProof/>
        </w:rPr>
        <w:t>A</w:t>
      </w:r>
    </w:p>
    <w:p w:rsidR="00B622E1" w:rsidRDefault="00B622E1" w:rsidP="005C5A21">
      <w:pPr>
        <w:pStyle w:val="BodyText"/>
        <w:ind w:left="3600" w:hanging="5040"/>
        <w:jc w:val="right"/>
        <w:rPr>
          <w:noProof/>
        </w:rPr>
      </w:pPr>
    </w:p>
    <w:p w:rsidR="00205971" w:rsidRDefault="00262B8E" w:rsidP="005C5A21">
      <w:pPr>
        <w:pStyle w:val="BodyText"/>
        <w:ind w:left="3600" w:hanging="5040"/>
        <w:jc w:val="right"/>
        <w:rPr>
          <w:sz w:val="20"/>
        </w:rPr>
      </w:pPr>
      <w:r>
        <w:rPr>
          <w:noProof/>
        </w:rPr>
        <w:drawing>
          <wp:inline distT="0" distB="0" distL="0" distR="0" wp14:anchorId="4E3236DB" wp14:editId="1A1FF636">
            <wp:extent cx="6791325" cy="6657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793912" cy="6660511"/>
                    </a:xfrm>
                    <a:prstGeom prst="rect">
                      <a:avLst/>
                    </a:prstGeom>
                  </pic:spPr>
                </pic:pic>
              </a:graphicData>
            </a:graphic>
          </wp:inline>
        </w:drawing>
      </w:r>
      <w:r w:rsidR="0047634C">
        <w:rPr>
          <w:sz w:val="20"/>
        </w:rPr>
        <w:br w:type="page"/>
      </w:r>
    </w:p>
    <w:p w:rsidR="005C5A21" w:rsidRDefault="005C5A21" w:rsidP="00B622E1">
      <w:pPr>
        <w:pStyle w:val="BodyText"/>
        <w:ind w:left="3600" w:hanging="5040"/>
        <w:jc w:val="right"/>
        <w:rPr>
          <w:sz w:val="20"/>
        </w:rPr>
      </w:pPr>
      <w:r w:rsidRPr="005C5A21">
        <w:rPr>
          <w:noProof/>
        </w:rPr>
        <w:lastRenderedPageBreak/>
        <w:drawing>
          <wp:inline distT="0" distB="0" distL="0" distR="0">
            <wp:extent cx="6124575" cy="782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7820025"/>
                    </a:xfrm>
                    <a:prstGeom prst="rect">
                      <a:avLst/>
                    </a:prstGeom>
                    <a:noFill/>
                    <a:ln>
                      <a:noFill/>
                    </a:ln>
                  </pic:spPr>
                </pic:pic>
              </a:graphicData>
            </a:graphic>
          </wp:inline>
        </w:drawing>
      </w:r>
    </w:p>
    <w:p w:rsidR="005C5A21" w:rsidRDefault="005C5A21">
      <w:r>
        <w:br w:type="page"/>
      </w:r>
    </w:p>
    <w:p w:rsidR="00B622E1" w:rsidRDefault="005C5A21" w:rsidP="00B622E1">
      <w:pPr>
        <w:pStyle w:val="BodyText"/>
        <w:ind w:left="3600" w:hanging="5040"/>
        <w:jc w:val="right"/>
        <w:rPr>
          <w:sz w:val="20"/>
        </w:rPr>
      </w:pPr>
      <w:r w:rsidRPr="005C5A21">
        <w:rPr>
          <w:noProof/>
        </w:rPr>
        <w:lastRenderedPageBreak/>
        <w:drawing>
          <wp:inline distT="0" distB="0" distL="0" distR="0">
            <wp:extent cx="6143625" cy="6486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3625" cy="6486525"/>
                    </a:xfrm>
                    <a:prstGeom prst="rect">
                      <a:avLst/>
                    </a:prstGeom>
                    <a:noFill/>
                    <a:ln>
                      <a:noFill/>
                    </a:ln>
                  </pic:spPr>
                </pic:pic>
              </a:graphicData>
            </a:graphic>
          </wp:inline>
        </w:drawing>
      </w:r>
    </w:p>
    <w:p w:rsidR="00B622E1" w:rsidRDefault="00B622E1" w:rsidP="00B622E1">
      <w:pPr>
        <w:pStyle w:val="BodyText"/>
        <w:ind w:left="3600" w:hanging="5040"/>
        <w:jc w:val="right"/>
        <w:rPr>
          <w:sz w:val="20"/>
        </w:rPr>
      </w:pPr>
    </w:p>
    <w:p w:rsidR="00B622E1" w:rsidRDefault="00B622E1" w:rsidP="00B622E1">
      <w:pPr>
        <w:pStyle w:val="BodyText"/>
        <w:ind w:left="3600" w:hanging="5040"/>
        <w:jc w:val="right"/>
        <w:rPr>
          <w:sz w:val="20"/>
        </w:rPr>
      </w:pPr>
    </w:p>
    <w:p w:rsidR="00210CEB" w:rsidRDefault="00205971" w:rsidP="00B622E1">
      <w:pPr>
        <w:pStyle w:val="BodyText"/>
        <w:ind w:left="3600" w:hanging="5040"/>
        <w:jc w:val="right"/>
        <w:rPr>
          <w:sz w:val="20"/>
        </w:rPr>
      </w:pPr>
      <w:r>
        <w:rPr>
          <w:sz w:val="20"/>
        </w:rPr>
        <w:br w:type="page"/>
      </w:r>
      <w:r w:rsidR="00B622E1" w:rsidRPr="00B622E1">
        <w:rPr>
          <w:noProof/>
        </w:rPr>
        <w:lastRenderedPageBreak/>
        <w:drawing>
          <wp:inline distT="0" distB="0" distL="0" distR="0">
            <wp:extent cx="5686425" cy="7629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425" cy="7629525"/>
                    </a:xfrm>
                    <a:prstGeom prst="rect">
                      <a:avLst/>
                    </a:prstGeom>
                    <a:noFill/>
                    <a:ln>
                      <a:noFill/>
                    </a:ln>
                  </pic:spPr>
                </pic:pic>
              </a:graphicData>
            </a:graphic>
          </wp:inline>
        </w:drawing>
      </w:r>
      <w:r w:rsidR="00210CEB">
        <w:rPr>
          <w:sz w:val="20"/>
        </w:rPr>
        <w:br w:type="page"/>
      </w:r>
    </w:p>
    <w:p w:rsidR="0047634C" w:rsidRDefault="0047634C" w:rsidP="0047634C">
      <w:pPr>
        <w:pStyle w:val="BodyText"/>
        <w:ind w:left="3600" w:hanging="5040"/>
        <w:jc w:val="left"/>
        <w:rPr>
          <w:sz w:val="20"/>
        </w:rPr>
      </w:pPr>
    </w:p>
    <w:p w:rsidR="007D1DD7" w:rsidRDefault="007D1DD7" w:rsidP="00521AAC">
      <w:pPr>
        <w:pStyle w:val="BodyText"/>
        <w:ind w:left="3600" w:hanging="4320"/>
        <w:jc w:val="left"/>
        <w:rPr>
          <w:sz w:val="20"/>
        </w:rPr>
      </w:pPr>
    </w:p>
    <w:p w:rsidR="002D71D1" w:rsidRDefault="002D71D1" w:rsidP="002D71D1">
      <w:pPr>
        <w:pStyle w:val="BodyText"/>
        <w:ind w:left="450" w:right="-1152"/>
        <w:jc w:val="center"/>
        <w:rPr>
          <w:b/>
          <w:sz w:val="23"/>
          <w:szCs w:val="23"/>
        </w:rPr>
      </w:pPr>
    </w:p>
    <w:p w:rsidR="0077177C" w:rsidRDefault="0010399F" w:rsidP="00F63E75">
      <w:pPr>
        <w:pStyle w:val="BodyText"/>
        <w:ind w:left="0" w:right="-1152"/>
        <w:jc w:val="center"/>
        <w:rPr>
          <w:b/>
          <w:sz w:val="23"/>
          <w:szCs w:val="23"/>
        </w:rPr>
      </w:pPr>
      <w:r>
        <w:rPr>
          <w:b/>
          <w:sz w:val="23"/>
          <w:szCs w:val="23"/>
        </w:rPr>
        <w:t>ADDENDUM #5</w:t>
      </w:r>
    </w:p>
    <w:p w:rsidR="0010399F" w:rsidRDefault="0010399F" w:rsidP="00F63E75">
      <w:pPr>
        <w:pStyle w:val="BodyText"/>
        <w:ind w:left="0" w:right="-1152"/>
        <w:jc w:val="center"/>
        <w:rPr>
          <w:b/>
          <w:sz w:val="23"/>
          <w:szCs w:val="23"/>
        </w:rPr>
      </w:pPr>
    </w:p>
    <w:p w:rsidR="0010399F" w:rsidRDefault="0010399F" w:rsidP="00F63E75">
      <w:pPr>
        <w:pStyle w:val="BodyText"/>
        <w:ind w:left="0" w:right="-1152"/>
        <w:jc w:val="center"/>
        <w:rPr>
          <w:b/>
          <w:sz w:val="23"/>
          <w:szCs w:val="23"/>
        </w:rPr>
      </w:pPr>
      <w:r>
        <w:rPr>
          <w:b/>
          <w:sz w:val="23"/>
          <w:szCs w:val="23"/>
        </w:rPr>
        <w:t xml:space="preserve">FY </w:t>
      </w:r>
      <w:r w:rsidR="00A420BF">
        <w:rPr>
          <w:b/>
          <w:sz w:val="23"/>
          <w:szCs w:val="23"/>
        </w:rPr>
        <w:t>201</w:t>
      </w:r>
      <w:r w:rsidR="003D22F2">
        <w:rPr>
          <w:b/>
          <w:sz w:val="23"/>
          <w:szCs w:val="23"/>
        </w:rPr>
        <w:t>8</w:t>
      </w:r>
      <w:r>
        <w:rPr>
          <w:b/>
          <w:sz w:val="23"/>
          <w:szCs w:val="23"/>
        </w:rPr>
        <w:t xml:space="preserve"> SINGLE FAMILY RESIDENCE </w:t>
      </w:r>
      <w:r w:rsidR="0033740E">
        <w:rPr>
          <w:b/>
          <w:sz w:val="23"/>
          <w:szCs w:val="23"/>
        </w:rPr>
        <w:t xml:space="preserve">by </w:t>
      </w:r>
      <w:r>
        <w:rPr>
          <w:b/>
          <w:sz w:val="23"/>
          <w:szCs w:val="23"/>
        </w:rPr>
        <w:t>VALUES – STATE USE CODE 101</w:t>
      </w:r>
    </w:p>
    <w:p w:rsidR="006B287D" w:rsidRDefault="006B287D" w:rsidP="00F63E75">
      <w:pPr>
        <w:pStyle w:val="BodyText"/>
        <w:ind w:left="0" w:right="-1152"/>
        <w:jc w:val="center"/>
        <w:rPr>
          <w:b/>
          <w:sz w:val="23"/>
          <w:szCs w:val="23"/>
        </w:rPr>
      </w:pPr>
      <w:r>
        <w:rPr>
          <w:b/>
          <w:sz w:val="23"/>
          <w:szCs w:val="23"/>
        </w:rPr>
        <w:t>(Does not include mixed use 012 or multiple houses 109)</w:t>
      </w:r>
    </w:p>
    <w:p w:rsidR="00DA6B4F" w:rsidRDefault="0010399F" w:rsidP="00F63E75">
      <w:pPr>
        <w:pStyle w:val="BodyText"/>
        <w:ind w:left="0" w:right="-1152"/>
        <w:jc w:val="center"/>
        <w:rPr>
          <w:b/>
          <w:sz w:val="23"/>
          <w:szCs w:val="23"/>
        </w:rPr>
      </w:pPr>
      <w:r>
        <w:rPr>
          <w:b/>
          <w:sz w:val="23"/>
          <w:szCs w:val="23"/>
        </w:rPr>
        <w:t>Concord, Ma</w:t>
      </w:r>
    </w:p>
    <w:p w:rsidR="00DA6B4F" w:rsidRDefault="00DA6B4F" w:rsidP="00F63E75">
      <w:pPr>
        <w:pStyle w:val="BodyText"/>
        <w:ind w:left="0" w:right="-1152"/>
        <w:jc w:val="center"/>
        <w:rPr>
          <w:b/>
          <w:sz w:val="23"/>
          <w:szCs w:val="23"/>
        </w:rPr>
      </w:pPr>
    </w:p>
    <w:p w:rsidR="00DA6B4F" w:rsidRDefault="00DA6B4F" w:rsidP="00F63E75">
      <w:pPr>
        <w:pStyle w:val="BodyText"/>
        <w:ind w:left="0" w:right="-1152"/>
        <w:jc w:val="center"/>
        <w:rPr>
          <w:b/>
          <w:sz w:val="23"/>
          <w:szCs w:val="23"/>
        </w:rPr>
      </w:pPr>
    </w:p>
    <w:p w:rsidR="00DA6B4F" w:rsidRDefault="00DA6B4F" w:rsidP="00F63E75">
      <w:pPr>
        <w:pStyle w:val="BodyText"/>
        <w:ind w:left="0" w:right="-1152"/>
        <w:jc w:val="center"/>
        <w:rPr>
          <w:b/>
          <w:sz w:val="23"/>
          <w:szCs w:val="23"/>
        </w:rPr>
      </w:pPr>
    </w:p>
    <w:p w:rsidR="00DA6B4F" w:rsidRDefault="00DA6B4F" w:rsidP="00F63E75">
      <w:pPr>
        <w:pStyle w:val="BodyText"/>
        <w:ind w:left="0" w:right="-1152"/>
        <w:jc w:val="center"/>
        <w:rPr>
          <w:b/>
          <w:sz w:val="23"/>
          <w:szCs w:val="23"/>
        </w:rPr>
      </w:pPr>
    </w:p>
    <w:p w:rsidR="00DA6B4F" w:rsidRDefault="00DA6B4F" w:rsidP="00F63E75">
      <w:pPr>
        <w:pStyle w:val="BodyText"/>
        <w:ind w:left="0" w:right="-1152"/>
        <w:jc w:val="center"/>
        <w:rPr>
          <w:b/>
          <w:sz w:val="23"/>
          <w:szCs w:val="23"/>
        </w:rPr>
      </w:pPr>
    </w:p>
    <w:p w:rsidR="00C5234E" w:rsidRDefault="00C5234E" w:rsidP="00F63E75">
      <w:pPr>
        <w:pStyle w:val="BodyText"/>
        <w:ind w:left="0" w:right="-1152"/>
        <w:jc w:val="center"/>
        <w:rPr>
          <w:b/>
          <w:sz w:val="23"/>
          <w:szCs w:val="23"/>
        </w:rPr>
      </w:pPr>
    </w:p>
    <w:p w:rsidR="00C5234E" w:rsidRDefault="001F4B25" w:rsidP="00F63E75">
      <w:pPr>
        <w:pStyle w:val="BodyText"/>
        <w:ind w:left="0" w:right="-1152"/>
        <w:jc w:val="center"/>
        <w:rPr>
          <w:b/>
          <w:sz w:val="23"/>
          <w:szCs w:val="23"/>
        </w:rPr>
      </w:pPr>
      <w:r>
        <w:rPr>
          <w:noProof/>
        </w:rPr>
        <w:drawing>
          <wp:inline distT="0" distB="0" distL="0" distR="0" wp14:anchorId="25A4AD5D" wp14:editId="399B8C86">
            <wp:extent cx="5153025" cy="36766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5234E" w:rsidRDefault="00C5234E" w:rsidP="002164B7">
      <w:pPr>
        <w:pStyle w:val="BodyText"/>
        <w:ind w:left="0" w:right="-1152"/>
      </w:pPr>
    </w:p>
    <w:p w:rsidR="00C5234E" w:rsidRDefault="00C5234E" w:rsidP="002164B7">
      <w:pPr>
        <w:pStyle w:val="BodyText"/>
        <w:ind w:left="0" w:right="-1152"/>
      </w:pPr>
    </w:p>
    <w:p w:rsidR="002164B7" w:rsidRDefault="002164B7" w:rsidP="002164B7">
      <w:pPr>
        <w:pStyle w:val="BodyText"/>
        <w:ind w:left="0" w:right="-1152"/>
      </w:pPr>
    </w:p>
    <w:p w:rsidR="00DA6B4F" w:rsidRPr="00A420BF" w:rsidRDefault="00C5234E" w:rsidP="00DA6B4F">
      <w:pPr>
        <w:pStyle w:val="NormalWeb"/>
        <w:spacing w:before="0" w:beforeAutospacing="0" w:after="0" w:afterAutospacing="0"/>
        <w:jc w:val="center"/>
        <w:textAlignment w:val="bottom"/>
        <w:rPr>
          <w:rFonts w:ascii="Calibri" w:hAnsi="Gill Sans MT"/>
          <w:color w:val="000000"/>
          <w:kern w:val="24"/>
          <w:sz w:val="40"/>
          <w:szCs w:val="40"/>
        </w:rPr>
      </w:pPr>
      <w:r w:rsidRPr="00DA6B4F">
        <w:rPr>
          <w:sz w:val="40"/>
          <w:szCs w:val="40"/>
        </w:rPr>
        <w:t xml:space="preserve">Average Assessment: </w:t>
      </w:r>
      <w:r w:rsidR="00DA6B4F" w:rsidRPr="00A420BF">
        <w:rPr>
          <w:rFonts w:ascii="Calibri" w:hAnsi="Gill Sans MT"/>
          <w:color w:val="000000"/>
          <w:kern w:val="24"/>
          <w:sz w:val="40"/>
          <w:szCs w:val="40"/>
        </w:rPr>
        <w:t>$</w:t>
      </w:r>
      <w:r w:rsidR="001F4B25">
        <w:rPr>
          <w:rFonts w:ascii="Calibri" w:hAnsi="Gill Sans MT"/>
          <w:color w:val="000000"/>
          <w:kern w:val="24"/>
          <w:sz w:val="40"/>
          <w:szCs w:val="40"/>
        </w:rPr>
        <w:t>1,014,269</w:t>
      </w:r>
    </w:p>
    <w:p w:rsidR="00DA6B4F" w:rsidRPr="00DA6B4F" w:rsidRDefault="00DA6B4F" w:rsidP="00DA6B4F">
      <w:pPr>
        <w:pStyle w:val="NormalWeb"/>
        <w:spacing w:before="0" w:beforeAutospacing="0" w:after="0" w:afterAutospacing="0"/>
        <w:jc w:val="right"/>
        <w:textAlignment w:val="bottom"/>
        <w:rPr>
          <w:sz w:val="40"/>
          <w:szCs w:val="40"/>
        </w:rPr>
      </w:pPr>
    </w:p>
    <w:p w:rsidR="00C5234E" w:rsidRDefault="00C5234E" w:rsidP="000A336F">
      <w:pPr>
        <w:pStyle w:val="NormalWeb"/>
        <w:spacing w:before="0" w:beforeAutospacing="0" w:after="0" w:afterAutospacing="0"/>
        <w:jc w:val="center"/>
        <w:textAlignment w:val="bottom"/>
      </w:pPr>
      <w:r w:rsidRPr="00DA6B4F">
        <w:rPr>
          <w:sz w:val="40"/>
          <w:szCs w:val="40"/>
        </w:rPr>
        <w:t xml:space="preserve">Median Assessment:  </w:t>
      </w:r>
      <w:r w:rsidR="00DA6B4F" w:rsidRPr="00A420BF">
        <w:rPr>
          <w:rFonts w:ascii="Calibri" w:hAnsi="Gill Sans MT"/>
          <w:color w:val="000000"/>
          <w:kern w:val="24"/>
          <w:sz w:val="40"/>
          <w:szCs w:val="40"/>
        </w:rPr>
        <w:t>$</w:t>
      </w:r>
      <w:r w:rsidR="00E00964">
        <w:rPr>
          <w:rFonts w:ascii="Calibri" w:hAnsi="Gill Sans MT"/>
          <w:color w:val="000000"/>
          <w:kern w:val="24"/>
          <w:sz w:val="40"/>
          <w:szCs w:val="40"/>
        </w:rPr>
        <w:t>8</w:t>
      </w:r>
      <w:r w:rsidR="001F4B25">
        <w:rPr>
          <w:rFonts w:ascii="Calibri" w:hAnsi="Gill Sans MT"/>
          <w:color w:val="000000"/>
          <w:kern w:val="24"/>
          <w:sz w:val="40"/>
          <w:szCs w:val="40"/>
        </w:rPr>
        <w:t>38,900</w:t>
      </w:r>
    </w:p>
    <w:p w:rsidR="00C5234E" w:rsidRDefault="00281624" w:rsidP="00F63E75">
      <w:pPr>
        <w:pStyle w:val="BodyText"/>
        <w:ind w:left="0" w:right="-1152"/>
        <w:jc w:val="center"/>
      </w:pPr>
      <w:r>
        <w:br w:type="page"/>
      </w:r>
    </w:p>
    <w:p w:rsidR="00C5234E" w:rsidRDefault="00C5234E" w:rsidP="00F63E75">
      <w:pPr>
        <w:pStyle w:val="BodyText"/>
        <w:ind w:left="0" w:right="-1152"/>
        <w:jc w:val="center"/>
      </w:pPr>
    </w:p>
    <w:p w:rsidR="00C5234E" w:rsidRDefault="00C5234E" w:rsidP="00F63E75">
      <w:pPr>
        <w:pStyle w:val="BodyText"/>
        <w:ind w:left="0" w:right="-1152"/>
        <w:jc w:val="center"/>
      </w:pPr>
      <w:r>
        <w:t>Addendum # 6</w:t>
      </w:r>
    </w:p>
    <w:p w:rsidR="005C4B83" w:rsidRDefault="005C4B83" w:rsidP="00F63E75">
      <w:pPr>
        <w:pStyle w:val="BodyText"/>
        <w:ind w:left="0" w:right="-1152"/>
        <w:jc w:val="center"/>
      </w:pPr>
    </w:p>
    <w:p w:rsidR="00C5234E" w:rsidRDefault="00C5234E" w:rsidP="00F63E75">
      <w:pPr>
        <w:pStyle w:val="BodyText"/>
        <w:ind w:left="0" w:right="-1152"/>
        <w:jc w:val="center"/>
      </w:pPr>
      <w:r>
        <w:t xml:space="preserve">FY </w:t>
      </w:r>
      <w:r w:rsidR="00A420BF">
        <w:t>201</w:t>
      </w:r>
      <w:r w:rsidR="00E02B0C">
        <w:t>8</w:t>
      </w:r>
      <w:r>
        <w:t xml:space="preserve"> CONDO VALUES – STATE USE CODE 102</w:t>
      </w:r>
    </w:p>
    <w:p w:rsidR="00C41451" w:rsidRDefault="00C41451" w:rsidP="00F63E75">
      <w:pPr>
        <w:pStyle w:val="BodyText"/>
        <w:ind w:left="0" w:right="-1152"/>
        <w:jc w:val="center"/>
      </w:pPr>
      <w:r>
        <w:t>(The figures include affordable units, but not separate garages)</w:t>
      </w:r>
    </w:p>
    <w:p w:rsidR="00DA6B4F" w:rsidRDefault="00DA6B4F" w:rsidP="00F63E75">
      <w:pPr>
        <w:pStyle w:val="BodyText"/>
        <w:ind w:left="0" w:right="-1152"/>
        <w:jc w:val="center"/>
      </w:pPr>
    </w:p>
    <w:p w:rsidR="00DA6B4F" w:rsidRDefault="00DA6B4F" w:rsidP="00F63E75">
      <w:pPr>
        <w:pStyle w:val="BodyText"/>
        <w:ind w:left="0" w:right="-1152"/>
        <w:jc w:val="center"/>
      </w:pPr>
    </w:p>
    <w:p w:rsidR="00CB5E2E" w:rsidRDefault="00CB5E2E" w:rsidP="002164B7">
      <w:pPr>
        <w:pStyle w:val="BodyText"/>
        <w:ind w:left="0" w:right="-1152"/>
      </w:pPr>
    </w:p>
    <w:p w:rsidR="00CB5E2E" w:rsidRDefault="00CB5E2E" w:rsidP="002164B7">
      <w:pPr>
        <w:pStyle w:val="BodyText"/>
        <w:ind w:left="0" w:right="-1152"/>
      </w:pPr>
    </w:p>
    <w:p w:rsidR="00CB5E2E" w:rsidRDefault="00CB5E2E" w:rsidP="002164B7">
      <w:pPr>
        <w:pStyle w:val="BodyText"/>
        <w:ind w:left="0" w:right="-1152"/>
      </w:pPr>
    </w:p>
    <w:p w:rsidR="00CB5E2E" w:rsidRDefault="00CB5E2E" w:rsidP="002164B7">
      <w:pPr>
        <w:pStyle w:val="BodyText"/>
        <w:ind w:left="0" w:right="-1152"/>
      </w:pPr>
    </w:p>
    <w:p w:rsidR="00CB5E2E" w:rsidRDefault="00CB5E2E" w:rsidP="002164B7">
      <w:pPr>
        <w:pStyle w:val="BodyText"/>
        <w:ind w:left="0" w:right="-1152"/>
      </w:pPr>
    </w:p>
    <w:p w:rsidR="00CB5E2E" w:rsidRDefault="00CB5E2E" w:rsidP="002164B7">
      <w:pPr>
        <w:pStyle w:val="BodyText"/>
        <w:ind w:left="0" w:right="-1152"/>
      </w:pPr>
    </w:p>
    <w:p w:rsidR="00C5234E" w:rsidRDefault="009716D1" w:rsidP="00F63E75">
      <w:pPr>
        <w:pStyle w:val="BodyText"/>
        <w:ind w:left="0" w:right="-1152"/>
        <w:jc w:val="center"/>
      </w:pPr>
      <w:r>
        <w:rPr>
          <w:noProof/>
        </w:rPr>
        <w:drawing>
          <wp:inline distT="0" distB="0" distL="0" distR="0" wp14:anchorId="29A6E2A3" wp14:editId="05A0B7CC">
            <wp:extent cx="4572000" cy="34766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B5E2E" w:rsidRDefault="00CB5E2E" w:rsidP="00F63E75">
      <w:pPr>
        <w:pStyle w:val="BodyText"/>
        <w:ind w:left="0" w:right="-1152"/>
        <w:jc w:val="center"/>
      </w:pPr>
    </w:p>
    <w:p w:rsidR="00CB5E2E" w:rsidRDefault="00CB5E2E" w:rsidP="00F63E75">
      <w:pPr>
        <w:pStyle w:val="BodyText"/>
        <w:ind w:left="0" w:right="-1152"/>
        <w:jc w:val="center"/>
      </w:pPr>
    </w:p>
    <w:p w:rsidR="00CB5E2E" w:rsidRDefault="00CB5E2E" w:rsidP="00F63E75">
      <w:pPr>
        <w:pStyle w:val="BodyText"/>
        <w:ind w:left="0" w:right="-1152"/>
        <w:jc w:val="center"/>
      </w:pPr>
    </w:p>
    <w:p w:rsidR="00CB5E2E" w:rsidRDefault="00CB5E2E" w:rsidP="00CB5E2E">
      <w:pPr>
        <w:pStyle w:val="BodyText"/>
        <w:ind w:left="0" w:right="-1152"/>
      </w:pPr>
    </w:p>
    <w:p w:rsidR="00CB5E2E" w:rsidRDefault="00CB5E2E" w:rsidP="00CB5E2E">
      <w:pPr>
        <w:pStyle w:val="BodyText"/>
        <w:ind w:left="0" w:right="-1152"/>
      </w:pPr>
    </w:p>
    <w:p w:rsidR="00CB5E2E" w:rsidRDefault="00CB5E2E" w:rsidP="00CB5E2E">
      <w:pPr>
        <w:pStyle w:val="BodyText"/>
        <w:ind w:left="0" w:right="-1152"/>
      </w:pPr>
    </w:p>
    <w:p w:rsidR="00CB5E2E" w:rsidRDefault="00CB5E2E" w:rsidP="00CB5E2E">
      <w:pPr>
        <w:pStyle w:val="BodyText"/>
        <w:ind w:left="0" w:right="-1152"/>
        <w:jc w:val="center"/>
      </w:pPr>
      <w:r>
        <w:t>Assessment</w:t>
      </w:r>
    </w:p>
    <w:p w:rsidR="00CB5E2E" w:rsidRDefault="00CB5E2E" w:rsidP="00CB5E2E">
      <w:pPr>
        <w:pStyle w:val="BodyText"/>
        <w:ind w:left="0" w:right="-1152"/>
        <w:jc w:val="center"/>
      </w:pPr>
    </w:p>
    <w:p w:rsidR="00CB5E2E" w:rsidRDefault="00CB5E2E" w:rsidP="00CB5E2E">
      <w:pPr>
        <w:pStyle w:val="BodyText"/>
        <w:ind w:left="0" w:right="-1152"/>
        <w:jc w:val="center"/>
      </w:pPr>
      <w:r>
        <w:t>Average Assessment: $478,984.                 Median Assessment:  $4</w:t>
      </w:r>
      <w:r w:rsidR="001C3B52">
        <w:t>19,200</w:t>
      </w:r>
      <w:r>
        <w:t>.</w:t>
      </w:r>
    </w:p>
    <w:sectPr w:rsidR="00CB5E2E" w:rsidSect="002D1759">
      <w:headerReference w:type="even" r:id="rId23"/>
      <w:pgSz w:w="12240" w:h="15840" w:code="1"/>
      <w:pgMar w:top="720" w:right="720" w:bottom="720" w:left="72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04" w:rsidRPr="009B6E0D" w:rsidRDefault="00B50604">
      <w:pPr>
        <w:rPr>
          <w:sz w:val="14"/>
          <w:szCs w:val="14"/>
        </w:rPr>
      </w:pPr>
      <w:r w:rsidRPr="009B6E0D">
        <w:rPr>
          <w:sz w:val="14"/>
          <w:szCs w:val="14"/>
        </w:rPr>
        <w:separator/>
      </w:r>
    </w:p>
    <w:p w:rsidR="00B50604" w:rsidRPr="009B6E0D" w:rsidRDefault="00B50604">
      <w:pPr>
        <w:rPr>
          <w:sz w:val="14"/>
          <w:szCs w:val="14"/>
        </w:rPr>
      </w:pPr>
    </w:p>
    <w:p w:rsidR="00B50604" w:rsidRPr="009B6E0D" w:rsidRDefault="00B50604">
      <w:pPr>
        <w:rPr>
          <w:sz w:val="15"/>
          <w:szCs w:val="15"/>
        </w:rPr>
      </w:pPr>
    </w:p>
    <w:p w:rsidR="00B50604" w:rsidRPr="009B6E0D" w:rsidRDefault="00B50604">
      <w:pPr>
        <w:rPr>
          <w:sz w:val="15"/>
          <w:szCs w:val="15"/>
        </w:rPr>
      </w:pPr>
    </w:p>
    <w:p w:rsidR="00B50604" w:rsidRPr="009B6E0D" w:rsidRDefault="00B50604">
      <w:pPr>
        <w:rPr>
          <w:sz w:val="18"/>
          <w:szCs w:val="18"/>
        </w:rPr>
      </w:pPr>
    </w:p>
  </w:endnote>
  <w:endnote w:type="continuationSeparator" w:id="0">
    <w:p w:rsidR="00B50604" w:rsidRPr="009B6E0D" w:rsidRDefault="00B50604">
      <w:pPr>
        <w:rPr>
          <w:sz w:val="14"/>
          <w:szCs w:val="14"/>
        </w:rPr>
      </w:pPr>
      <w:r w:rsidRPr="009B6E0D">
        <w:rPr>
          <w:sz w:val="14"/>
          <w:szCs w:val="14"/>
        </w:rPr>
        <w:continuationSeparator/>
      </w:r>
    </w:p>
    <w:p w:rsidR="00B50604" w:rsidRPr="009B6E0D" w:rsidRDefault="00B50604">
      <w:pPr>
        <w:rPr>
          <w:sz w:val="14"/>
          <w:szCs w:val="14"/>
        </w:rPr>
      </w:pPr>
    </w:p>
    <w:p w:rsidR="00B50604" w:rsidRPr="009B6E0D" w:rsidRDefault="00B50604">
      <w:pPr>
        <w:rPr>
          <w:sz w:val="15"/>
          <w:szCs w:val="15"/>
        </w:rPr>
      </w:pPr>
    </w:p>
    <w:p w:rsidR="00B50604" w:rsidRPr="009B6E0D" w:rsidRDefault="00B50604">
      <w:pPr>
        <w:rPr>
          <w:sz w:val="15"/>
          <w:szCs w:val="15"/>
        </w:rPr>
      </w:pPr>
    </w:p>
    <w:p w:rsidR="00B50604" w:rsidRPr="009B6E0D" w:rsidRDefault="00B50604">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51" w:rsidRPr="009B6E0D" w:rsidRDefault="00333A51" w:rsidP="007D5156">
    <w:pPr>
      <w:pStyle w:val="Footer"/>
      <w:framePr w:wrap="around" w:vAnchor="text" w:hAnchor="margin" w:xAlign="center" w:y="1"/>
      <w:rPr>
        <w:rStyle w:val="PageNumber"/>
        <w:sz w:val="14"/>
        <w:szCs w:val="14"/>
      </w:rPr>
    </w:pPr>
    <w:r w:rsidRPr="009B6E0D">
      <w:rPr>
        <w:rStyle w:val="PageNumber"/>
        <w:sz w:val="14"/>
        <w:szCs w:val="14"/>
      </w:rPr>
      <w:fldChar w:fldCharType="begin"/>
    </w:r>
    <w:r w:rsidRPr="009B6E0D">
      <w:rPr>
        <w:rStyle w:val="PageNumber"/>
        <w:sz w:val="14"/>
        <w:szCs w:val="14"/>
      </w:rPr>
      <w:instrText xml:space="preserve">PAGE  </w:instrText>
    </w:r>
    <w:r w:rsidRPr="009B6E0D">
      <w:rPr>
        <w:rStyle w:val="PageNumber"/>
        <w:sz w:val="14"/>
        <w:szCs w:val="14"/>
      </w:rPr>
      <w:fldChar w:fldCharType="separate"/>
    </w:r>
    <w:r w:rsidRPr="009B6E0D">
      <w:rPr>
        <w:rStyle w:val="PageNumber"/>
        <w:noProof/>
        <w:sz w:val="14"/>
        <w:szCs w:val="14"/>
      </w:rPr>
      <w:t>2</w:t>
    </w:r>
    <w:r w:rsidRPr="009B6E0D">
      <w:rPr>
        <w:rStyle w:val="PageNumber"/>
        <w:sz w:val="14"/>
        <w:szCs w:val="14"/>
      </w:rPr>
      <w:fldChar w:fldCharType="end"/>
    </w:r>
  </w:p>
  <w:p w:rsidR="00333A51" w:rsidRPr="009B6E0D" w:rsidRDefault="00333A51">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51" w:rsidRDefault="00333A51">
    <w:pPr>
      <w:pStyle w:val="Footer"/>
      <w:jc w:val="center"/>
    </w:pPr>
    <w:r>
      <w:fldChar w:fldCharType="begin"/>
    </w:r>
    <w:r>
      <w:instrText xml:space="preserve"> PAGE   \* MERGEFORMAT </w:instrText>
    </w:r>
    <w:r>
      <w:fldChar w:fldCharType="separate"/>
    </w:r>
    <w:r w:rsidR="003A4838">
      <w:rPr>
        <w:noProof/>
      </w:rPr>
      <w:t>19</w:t>
    </w:r>
    <w:r>
      <w:rPr>
        <w:noProof/>
      </w:rPr>
      <w:fldChar w:fldCharType="end"/>
    </w:r>
  </w:p>
  <w:p w:rsidR="00333A51" w:rsidRPr="009B6E0D" w:rsidRDefault="00333A51" w:rsidP="00A11764">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04" w:rsidRPr="009B6E0D" w:rsidRDefault="00B50604">
      <w:pPr>
        <w:rPr>
          <w:sz w:val="14"/>
          <w:szCs w:val="14"/>
        </w:rPr>
      </w:pPr>
      <w:r w:rsidRPr="009B6E0D">
        <w:rPr>
          <w:sz w:val="14"/>
          <w:szCs w:val="14"/>
        </w:rPr>
        <w:separator/>
      </w:r>
    </w:p>
    <w:p w:rsidR="00B50604" w:rsidRPr="009B6E0D" w:rsidRDefault="00B50604">
      <w:pPr>
        <w:rPr>
          <w:sz w:val="14"/>
          <w:szCs w:val="14"/>
        </w:rPr>
      </w:pPr>
    </w:p>
    <w:p w:rsidR="00B50604" w:rsidRPr="009B6E0D" w:rsidRDefault="00B50604">
      <w:pPr>
        <w:rPr>
          <w:sz w:val="15"/>
          <w:szCs w:val="15"/>
        </w:rPr>
      </w:pPr>
    </w:p>
    <w:p w:rsidR="00B50604" w:rsidRPr="009B6E0D" w:rsidRDefault="00B50604">
      <w:pPr>
        <w:rPr>
          <w:sz w:val="15"/>
          <w:szCs w:val="15"/>
        </w:rPr>
      </w:pPr>
    </w:p>
    <w:p w:rsidR="00B50604" w:rsidRPr="009B6E0D" w:rsidRDefault="00B50604">
      <w:pPr>
        <w:rPr>
          <w:sz w:val="18"/>
          <w:szCs w:val="18"/>
        </w:rPr>
      </w:pPr>
    </w:p>
  </w:footnote>
  <w:footnote w:type="continuationSeparator" w:id="0">
    <w:p w:rsidR="00B50604" w:rsidRPr="009B6E0D" w:rsidRDefault="00B50604">
      <w:pPr>
        <w:rPr>
          <w:sz w:val="14"/>
          <w:szCs w:val="14"/>
        </w:rPr>
      </w:pPr>
      <w:r w:rsidRPr="009B6E0D">
        <w:rPr>
          <w:sz w:val="14"/>
          <w:szCs w:val="14"/>
        </w:rPr>
        <w:continuationSeparator/>
      </w:r>
    </w:p>
    <w:p w:rsidR="00B50604" w:rsidRPr="009B6E0D" w:rsidRDefault="00B50604">
      <w:pPr>
        <w:rPr>
          <w:sz w:val="14"/>
          <w:szCs w:val="14"/>
        </w:rPr>
      </w:pPr>
    </w:p>
    <w:p w:rsidR="00B50604" w:rsidRPr="009B6E0D" w:rsidRDefault="00B50604">
      <w:pPr>
        <w:rPr>
          <w:sz w:val="15"/>
          <w:szCs w:val="15"/>
        </w:rPr>
      </w:pPr>
    </w:p>
    <w:p w:rsidR="00B50604" w:rsidRPr="009B6E0D" w:rsidRDefault="00B50604">
      <w:pPr>
        <w:rPr>
          <w:sz w:val="15"/>
          <w:szCs w:val="15"/>
        </w:rPr>
      </w:pPr>
    </w:p>
    <w:p w:rsidR="00B50604" w:rsidRPr="009B6E0D" w:rsidRDefault="00B50604">
      <w:pPr>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51" w:rsidRPr="009B6E0D" w:rsidRDefault="00333A51">
    <w:pPr>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51" w:rsidRPr="009B6E0D" w:rsidRDefault="00333A51">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EBB"/>
    <w:multiLevelType w:val="multilevel"/>
    <w:tmpl w:val="0B784B24"/>
    <w:lvl w:ilvl="0">
      <w:start w:val="201"/>
      <w:numFmt w:val="decimal"/>
      <w:lvlText w:val="%1"/>
      <w:lvlJc w:val="left"/>
      <w:pPr>
        <w:tabs>
          <w:tab w:val="num" w:pos="1440"/>
        </w:tabs>
        <w:ind w:left="1440" w:hanging="1440"/>
      </w:pPr>
      <w:rPr>
        <w:rFonts w:hint="default"/>
      </w:rPr>
    </w:lvl>
    <w:lvl w:ilvl="1">
      <w:start w:val="202"/>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1">
    <w:nsid w:val="01BF2CA0"/>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02FD40A2"/>
    <w:multiLevelType w:val="hybridMultilevel"/>
    <w:tmpl w:val="3E024228"/>
    <w:lvl w:ilvl="0" w:tplc="AB068DE6">
      <w:start w:val="130"/>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06BF7824"/>
    <w:multiLevelType w:val="singleLevel"/>
    <w:tmpl w:val="7ABA92BE"/>
    <w:lvl w:ilvl="0">
      <w:start w:val="1"/>
      <w:numFmt w:val="upperRoman"/>
      <w:lvlText w:val="%1."/>
      <w:lvlJc w:val="left"/>
      <w:pPr>
        <w:tabs>
          <w:tab w:val="num" w:pos="1440"/>
        </w:tabs>
        <w:ind w:left="1440" w:hanging="720"/>
      </w:pPr>
      <w:rPr>
        <w:rFonts w:hint="default"/>
      </w:rPr>
    </w:lvl>
  </w:abstractNum>
  <w:abstractNum w:abstractNumId="4">
    <w:nsid w:val="11B92356"/>
    <w:multiLevelType w:val="singleLevel"/>
    <w:tmpl w:val="C316A8C8"/>
    <w:lvl w:ilvl="0">
      <w:start w:val="1"/>
      <w:numFmt w:val="upperLetter"/>
      <w:lvlText w:val="%1."/>
      <w:lvlJc w:val="left"/>
      <w:pPr>
        <w:tabs>
          <w:tab w:val="num" w:pos="1440"/>
        </w:tabs>
        <w:ind w:left="1440" w:hanging="720"/>
      </w:pPr>
      <w:rPr>
        <w:rFonts w:hint="default"/>
      </w:rPr>
    </w:lvl>
  </w:abstractNum>
  <w:abstractNum w:abstractNumId="5">
    <w:nsid w:val="14B100AA"/>
    <w:multiLevelType w:val="multilevel"/>
    <w:tmpl w:val="582ABEE4"/>
    <w:lvl w:ilvl="0">
      <w:start w:val="710"/>
      <w:numFmt w:val="decimal"/>
      <w:lvlText w:val="%1"/>
      <w:lvlJc w:val="left"/>
      <w:pPr>
        <w:tabs>
          <w:tab w:val="num" w:pos="1440"/>
        </w:tabs>
        <w:ind w:left="1440" w:hanging="1440"/>
      </w:pPr>
      <w:rPr>
        <w:rFonts w:hint="default"/>
      </w:rPr>
    </w:lvl>
    <w:lvl w:ilvl="1">
      <w:start w:val="722"/>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
    <w:nsid w:val="1B6C4754"/>
    <w:multiLevelType w:val="hybridMultilevel"/>
    <w:tmpl w:val="3EEE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5016E"/>
    <w:multiLevelType w:val="hybridMultilevel"/>
    <w:tmpl w:val="8FA8883C"/>
    <w:lvl w:ilvl="0" w:tplc="BB3EADD0">
      <w:start w:val="125"/>
      <w:numFmt w:val="decimal"/>
      <w:lvlText w:val="%1"/>
      <w:lvlJc w:val="left"/>
      <w:pPr>
        <w:tabs>
          <w:tab w:val="num" w:pos="4326"/>
        </w:tabs>
        <w:ind w:left="4326" w:hanging="1440"/>
      </w:pPr>
      <w:rPr>
        <w:rFonts w:hint="default"/>
      </w:rPr>
    </w:lvl>
    <w:lvl w:ilvl="1" w:tplc="04090019" w:tentative="1">
      <w:start w:val="1"/>
      <w:numFmt w:val="lowerLetter"/>
      <w:lvlText w:val="%2."/>
      <w:lvlJc w:val="left"/>
      <w:pPr>
        <w:tabs>
          <w:tab w:val="num" w:pos="3966"/>
        </w:tabs>
        <w:ind w:left="3966" w:hanging="360"/>
      </w:pPr>
    </w:lvl>
    <w:lvl w:ilvl="2" w:tplc="0409001B" w:tentative="1">
      <w:start w:val="1"/>
      <w:numFmt w:val="lowerRoman"/>
      <w:lvlText w:val="%3."/>
      <w:lvlJc w:val="right"/>
      <w:pPr>
        <w:tabs>
          <w:tab w:val="num" w:pos="4686"/>
        </w:tabs>
        <w:ind w:left="4686" w:hanging="180"/>
      </w:pPr>
    </w:lvl>
    <w:lvl w:ilvl="3" w:tplc="0409000F" w:tentative="1">
      <w:start w:val="1"/>
      <w:numFmt w:val="decimal"/>
      <w:lvlText w:val="%4."/>
      <w:lvlJc w:val="left"/>
      <w:pPr>
        <w:tabs>
          <w:tab w:val="num" w:pos="5406"/>
        </w:tabs>
        <w:ind w:left="5406" w:hanging="360"/>
      </w:pPr>
    </w:lvl>
    <w:lvl w:ilvl="4" w:tplc="04090019" w:tentative="1">
      <w:start w:val="1"/>
      <w:numFmt w:val="lowerLetter"/>
      <w:lvlText w:val="%5."/>
      <w:lvlJc w:val="left"/>
      <w:pPr>
        <w:tabs>
          <w:tab w:val="num" w:pos="6126"/>
        </w:tabs>
        <w:ind w:left="6126" w:hanging="360"/>
      </w:pPr>
    </w:lvl>
    <w:lvl w:ilvl="5" w:tplc="0409001B" w:tentative="1">
      <w:start w:val="1"/>
      <w:numFmt w:val="lowerRoman"/>
      <w:lvlText w:val="%6."/>
      <w:lvlJc w:val="right"/>
      <w:pPr>
        <w:tabs>
          <w:tab w:val="num" w:pos="6846"/>
        </w:tabs>
        <w:ind w:left="6846" w:hanging="180"/>
      </w:pPr>
    </w:lvl>
    <w:lvl w:ilvl="6" w:tplc="0409000F" w:tentative="1">
      <w:start w:val="1"/>
      <w:numFmt w:val="decimal"/>
      <w:lvlText w:val="%7."/>
      <w:lvlJc w:val="left"/>
      <w:pPr>
        <w:tabs>
          <w:tab w:val="num" w:pos="7566"/>
        </w:tabs>
        <w:ind w:left="7566" w:hanging="360"/>
      </w:pPr>
    </w:lvl>
    <w:lvl w:ilvl="7" w:tplc="04090019" w:tentative="1">
      <w:start w:val="1"/>
      <w:numFmt w:val="lowerLetter"/>
      <w:lvlText w:val="%8."/>
      <w:lvlJc w:val="left"/>
      <w:pPr>
        <w:tabs>
          <w:tab w:val="num" w:pos="8286"/>
        </w:tabs>
        <w:ind w:left="8286" w:hanging="360"/>
      </w:pPr>
    </w:lvl>
    <w:lvl w:ilvl="8" w:tplc="0409001B" w:tentative="1">
      <w:start w:val="1"/>
      <w:numFmt w:val="lowerRoman"/>
      <w:lvlText w:val="%9."/>
      <w:lvlJc w:val="right"/>
      <w:pPr>
        <w:tabs>
          <w:tab w:val="num" w:pos="9006"/>
        </w:tabs>
        <w:ind w:left="9006" w:hanging="180"/>
      </w:pPr>
    </w:lvl>
  </w:abstractNum>
  <w:abstractNum w:abstractNumId="8">
    <w:nsid w:val="25613D4E"/>
    <w:multiLevelType w:val="multilevel"/>
    <w:tmpl w:val="35B8596A"/>
    <w:lvl w:ilvl="0">
      <w:start w:val="300"/>
      <w:numFmt w:val="decimal"/>
      <w:lvlText w:val="%1"/>
      <w:lvlJc w:val="left"/>
      <w:pPr>
        <w:tabs>
          <w:tab w:val="num" w:pos="1440"/>
        </w:tabs>
        <w:ind w:left="1440" w:hanging="1440"/>
      </w:pPr>
      <w:rPr>
        <w:rFonts w:hint="default"/>
      </w:rPr>
    </w:lvl>
    <w:lvl w:ilvl="1">
      <w:start w:val="393"/>
      <w:numFmt w:val="decimal"/>
      <w:lvlText w:val="%1-%2"/>
      <w:lvlJc w:val="left"/>
      <w:pPr>
        <w:tabs>
          <w:tab w:val="num" w:pos="4320"/>
        </w:tabs>
        <w:ind w:left="4320" w:hanging="1440"/>
      </w:pPr>
      <w:rPr>
        <w:rFonts w:hint="default"/>
      </w:rPr>
    </w:lvl>
    <w:lvl w:ilvl="2">
      <w:start w:val="1"/>
      <w:numFmt w:val="decimal"/>
      <w:lvlText w:val="%1-%2.%3"/>
      <w:lvlJc w:val="left"/>
      <w:pPr>
        <w:tabs>
          <w:tab w:val="num" w:pos="7200"/>
        </w:tabs>
        <w:ind w:left="7200" w:hanging="1440"/>
      </w:pPr>
      <w:rPr>
        <w:rFonts w:hint="default"/>
      </w:rPr>
    </w:lvl>
    <w:lvl w:ilvl="3">
      <w:start w:val="1"/>
      <w:numFmt w:val="decimal"/>
      <w:lvlText w:val="%1-%2.%3.%4"/>
      <w:lvlJc w:val="left"/>
      <w:pPr>
        <w:tabs>
          <w:tab w:val="num" w:pos="10080"/>
        </w:tabs>
        <w:ind w:left="10080" w:hanging="1440"/>
      </w:pPr>
      <w:rPr>
        <w:rFonts w:hint="default"/>
      </w:rPr>
    </w:lvl>
    <w:lvl w:ilvl="4">
      <w:start w:val="1"/>
      <w:numFmt w:val="decimal"/>
      <w:lvlText w:val="%1-%2.%3.%4.%5"/>
      <w:lvlJc w:val="left"/>
      <w:pPr>
        <w:tabs>
          <w:tab w:val="num" w:pos="12960"/>
        </w:tabs>
        <w:ind w:left="12960" w:hanging="144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9">
    <w:nsid w:val="265C5675"/>
    <w:multiLevelType w:val="hybridMultilevel"/>
    <w:tmpl w:val="45B0F8BE"/>
    <w:lvl w:ilvl="0" w:tplc="974E02BC">
      <w:start w:val="231"/>
      <w:numFmt w:val="decimal"/>
      <w:lvlText w:val="%1"/>
      <w:lvlJc w:val="left"/>
      <w:pPr>
        <w:tabs>
          <w:tab w:val="num" w:pos="2280"/>
        </w:tabs>
        <w:ind w:left="2280" w:hanging="72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0">
    <w:nsid w:val="34490B46"/>
    <w:multiLevelType w:val="hybridMultilevel"/>
    <w:tmpl w:val="81C26F6E"/>
    <w:lvl w:ilvl="0" w:tplc="AA7AA62C">
      <w:start w:val="60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3837624B"/>
    <w:multiLevelType w:val="hybridMultilevel"/>
    <w:tmpl w:val="CE982EC2"/>
    <w:lvl w:ilvl="0" w:tplc="1CB8258C">
      <w:start w:val="11"/>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8C6501A"/>
    <w:multiLevelType w:val="hybridMultilevel"/>
    <w:tmpl w:val="DFF44210"/>
    <w:lvl w:ilvl="0" w:tplc="E1A627D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4D59D0"/>
    <w:multiLevelType w:val="hybridMultilevel"/>
    <w:tmpl w:val="3CFCD882"/>
    <w:lvl w:ilvl="0" w:tplc="A58EE8F2">
      <w:start w:val="140"/>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42101F25"/>
    <w:multiLevelType w:val="singleLevel"/>
    <w:tmpl w:val="F58CB1C0"/>
    <w:lvl w:ilvl="0">
      <w:start w:val="1"/>
      <w:numFmt w:val="upperLetter"/>
      <w:lvlText w:val="%1."/>
      <w:lvlJc w:val="left"/>
      <w:pPr>
        <w:tabs>
          <w:tab w:val="num" w:pos="1440"/>
        </w:tabs>
        <w:ind w:left="1440" w:hanging="720"/>
      </w:pPr>
      <w:rPr>
        <w:rFonts w:hint="default"/>
      </w:rPr>
    </w:lvl>
  </w:abstractNum>
  <w:abstractNum w:abstractNumId="15">
    <w:nsid w:val="437E75B6"/>
    <w:multiLevelType w:val="singleLevel"/>
    <w:tmpl w:val="353003D0"/>
    <w:lvl w:ilvl="0">
      <w:start w:val="1"/>
      <w:numFmt w:val="upperRoman"/>
      <w:lvlText w:val="%1."/>
      <w:lvlJc w:val="left"/>
      <w:pPr>
        <w:tabs>
          <w:tab w:val="num" w:pos="2880"/>
        </w:tabs>
        <w:ind w:left="2880" w:hanging="720"/>
      </w:pPr>
      <w:rPr>
        <w:rFonts w:hint="default"/>
      </w:rPr>
    </w:lvl>
  </w:abstractNum>
  <w:abstractNum w:abstractNumId="16">
    <w:nsid w:val="470263B3"/>
    <w:multiLevelType w:val="singleLevel"/>
    <w:tmpl w:val="157EECDC"/>
    <w:lvl w:ilvl="0">
      <w:start w:val="1"/>
      <w:numFmt w:val="decimal"/>
      <w:lvlText w:val="(%1)"/>
      <w:lvlJc w:val="left"/>
      <w:pPr>
        <w:tabs>
          <w:tab w:val="num" w:pos="2550"/>
        </w:tabs>
        <w:ind w:left="2550" w:hanging="390"/>
      </w:pPr>
      <w:rPr>
        <w:rFonts w:hint="default"/>
      </w:rPr>
    </w:lvl>
  </w:abstractNum>
  <w:abstractNum w:abstractNumId="17">
    <w:nsid w:val="48484781"/>
    <w:multiLevelType w:val="singleLevel"/>
    <w:tmpl w:val="A23EA628"/>
    <w:lvl w:ilvl="0">
      <w:start w:val="1"/>
      <w:numFmt w:val="upperRoman"/>
      <w:lvlText w:val="%1."/>
      <w:lvlJc w:val="left"/>
      <w:pPr>
        <w:tabs>
          <w:tab w:val="num" w:pos="2280"/>
        </w:tabs>
        <w:ind w:left="2280" w:hanging="720"/>
      </w:pPr>
      <w:rPr>
        <w:rFonts w:hint="default"/>
      </w:rPr>
    </w:lvl>
  </w:abstractNum>
  <w:abstractNum w:abstractNumId="18">
    <w:nsid w:val="4CA525C5"/>
    <w:multiLevelType w:val="hybridMultilevel"/>
    <w:tmpl w:val="307EC5B6"/>
    <w:lvl w:ilvl="0" w:tplc="F04E669E">
      <w:start w:val="72"/>
      <w:numFmt w:val="decimal"/>
      <w:lvlText w:val="%1"/>
      <w:lvlJc w:val="left"/>
      <w:pPr>
        <w:tabs>
          <w:tab w:val="num" w:pos="2160"/>
        </w:tabs>
        <w:ind w:left="2160" w:hanging="60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9">
    <w:nsid w:val="56967ADC"/>
    <w:multiLevelType w:val="hybridMultilevel"/>
    <w:tmpl w:val="EA5A452A"/>
    <w:lvl w:ilvl="0" w:tplc="10F601C2">
      <w:start w:val="101"/>
      <w:numFmt w:val="decimal"/>
      <w:lvlText w:val="%1"/>
      <w:lvlJc w:val="left"/>
      <w:pPr>
        <w:tabs>
          <w:tab w:val="num" w:pos="4326"/>
        </w:tabs>
        <w:ind w:left="4326" w:hanging="1440"/>
      </w:pPr>
      <w:rPr>
        <w:rFonts w:hint="default"/>
      </w:rPr>
    </w:lvl>
    <w:lvl w:ilvl="1" w:tplc="04090019" w:tentative="1">
      <w:start w:val="1"/>
      <w:numFmt w:val="lowerLetter"/>
      <w:lvlText w:val="%2."/>
      <w:lvlJc w:val="left"/>
      <w:pPr>
        <w:tabs>
          <w:tab w:val="num" w:pos="3966"/>
        </w:tabs>
        <w:ind w:left="3966" w:hanging="360"/>
      </w:pPr>
    </w:lvl>
    <w:lvl w:ilvl="2" w:tplc="0409001B" w:tentative="1">
      <w:start w:val="1"/>
      <w:numFmt w:val="lowerRoman"/>
      <w:lvlText w:val="%3."/>
      <w:lvlJc w:val="right"/>
      <w:pPr>
        <w:tabs>
          <w:tab w:val="num" w:pos="4686"/>
        </w:tabs>
        <w:ind w:left="4686" w:hanging="180"/>
      </w:pPr>
    </w:lvl>
    <w:lvl w:ilvl="3" w:tplc="0409000F" w:tentative="1">
      <w:start w:val="1"/>
      <w:numFmt w:val="decimal"/>
      <w:lvlText w:val="%4."/>
      <w:lvlJc w:val="left"/>
      <w:pPr>
        <w:tabs>
          <w:tab w:val="num" w:pos="5406"/>
        </w:tabs>
        <w:ind w:left="5406" w:hanging="360"/>
      </w:pPr>
    </w:lvl>
    <w:lvl w:ilvl="4" w:tplc="04090019" w:tentative="1">
      <w:start w:val="1"/>
      <w:numFmt w:val="lowerLetter"/>
      <w:lvlText w:val="%5."/>
      <w:lvlJc w:val="left"/>
      <w:pPr>
        <w:tabs>
          <w:tab w:val="num" w:pos="6126"/>
        </w:tabs>
        <w:ind w:left="6126" w:hanging="360"/>
      </w:pPr>
    </w:lvl>
    <w:lvl w:ilvl="5" w:tplc="0409001B" w:tentative="1">
      <w:start w:val="1"/>
      <w:numFmt w:val="lowerRoman"/>
      <w:lvlText w:val="%6."/>
      <w:lvlJc w:val="right"/>
      <w:pPr>
        <w:tabs>
          <w:tab w:val="num" w:pos="6846"/>
        </w:tabs>
        <w:ind w:left="6846" w:hanging="180"/>
      </w:pPr>
    </w:lvl>
    <w:lvl w:ilvl="6" w:tplc="0409000F" w:tentative="1">
      <w:start w:val="1"/>
      <w:numFmt w:val="decimal"/>
      <w:lvlText w:val="%7."/>
      <w:lvlJc w:val="left"/>
      <w:pPr>
        <w:tabs>
          <w:tab w:val="num" w:pos="7566"/>
        </w:tabs>
        <w:ind w:left="7566" w:hanging="360"/>
      </w:pPr>
    </w:lvl>
    <w:lvl w:ilvl="7" w:tplc="04090019" w:tentative="1">
      <w:start w:val="1"/>
      <w:numFmt w:val="lowerLetter"/>
      <w:lvlText w:val="%8."/>
      <w:lvlJc w:val="left"/>
      <w:pPr>
        <w:tabs>
          <w:tab w:val="num" w:pos="8286"/>
        </w:tabs>
        <w:ind w:left="8286" w:hanging="360"/>
      </w:pPr>
    </w:lvl>
    <w:lvl w:ilvl="8" w:tplc="0409001B" w:tentative="1">
      <w:start w:val="1"/>
      <w:numFmt w:val="lowerRoman"/>
      <w:lvlText w:val="%9."/>
      <w:lvlJc w:val="right"/>
      <w:pPr>
        <w:tabs>
          <w:tab w:val="num" w:pos="9006"/>
        </w:tabs>
        <w:ind w:left="9006" w:hanging="180"/>
      </w:pPr>
    </w:lvl>
  </w:abstractNum>
  <w:abstractNum w:abstractNumId="20">
    <w:nsid w:val="5B4E071D"/>
    <w:multiLevelType w:val="singleLevel"/>
    <w:tmpl w:val="28081E70"/>
    <w:lvl w:ilvl="0">
      <w:start w:val="1"/>
      <w:numFmt w:val="upperRoman"/>
      <w:lvlText w:val="%1."/>
      <w:lvlJc w:val="left"/>
      <w:pPr>
        <w:tabs>
          <w:tab w:val="num" w:pos="1440"/>
        </w:tabs>
        <w:ind w:left="1440" w:hanging="720"/>
      </w:pPr>
      <w:rPr>
        <w:rFonts w:hint="default"/>
      </w:rPr>
    </w:lvl>
  </w:abstractNum>
  <w:abstractNum w:abstractNumId="21">
    <w:nsid w:val="63155FCC"/>
    <w:multiLevelType w:val="singleLevel"/>
    <w:tmpl w:val="C4626790"/>
    <w:lvl w:ilvl="0">
      <w:start w:val="1"/>
      <w:numFmt w:val="upperRoman"/>
      <w:lvlText w:val="%1."/>
      <w:lvlJc w:val="left"/>
      <w:pPr>
        <w:tabs>
          <w:tab w:val="num" w:pos="2280"/>
        </w:tabs>
        <w:ind w:left="2280" w:hanging="720"/>
      </w:pPr>
      <w:rPr>
        <w:rFonts w:hint="default"/>
      </w:rPr>
    </w:lvl>
  </w:abstractNum>
  <w:abstractNum w:abstractNumId="22">
    <w:nsid w:val="68D45976"/>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nsid w:val="6A8E09A3"/>
    <w:multiLevelType w:val="hybridMultilevel"/>
    <w:tmpl w:val="29307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6AC721D8"/>
    <w:multiLevelType w:val="singleLevel"/>
    <w:tmpl w:val="44E468E8"/>
    <w:lvl w:ilvl="0">
      <w:start w:val="1"/>
      <w:numFmt w:val="upperLetter"/>
      <w:lvlText w:val="%1."/>
      <w:lvlJc w:val="left"/>
      <w:pPr>
        <w:tabs>
          <w:tab w:val="num" w:pos="2160"/>
        </w:tabs>
        <w:ind w:left="2160" w:hanging="720"/>
      </w:pPr>
      <w:rPr>
        <w:rFonts w:hint="default"/>
      </w:rPr>
    </w:lvl>
  </w:abstractNum>
  <w:abstractNum w:abstractNumId="25">
    <w:nsid w:val="77AC5EED"/>
    <w:multiLevelType w:val="singleLevel"/>
    <w:tmpl w:val="04882620"/>
    <w:lvl w:ilvl="0">
      <w:start w:val="1"/>
      <w:numFmt w:val="upperLetter"/>
      <w:lvlText w:val="%1."/>
      <w:lvlJc w:val="left"/>
      <w:pPr>
        <w:tabs>
          <w:tab w:val="num" w:pos="2160"/>
        </w:tabs>
        <w:ind w:left="2160" w:hanging="720"/>
      </w:pPr>
      <w:rPr>
        <w:rFonts w:hint="default"/>
      </w:rPr>
    </w:lvl>
  </w:abstractNum>
  <w:abstractNum w:abstractNumId="26">
    <w:nsid w:val="78FE7675"/>
    <w:multiLevelType w:val="multilevel"/>
    <w:tmpl w:val="7C48614E"/>
    <w:lvl w:ilvl="0">
      <w:start w:val="210"/>
      <w:numFmt w:val="decimal"/>
      <w:lvlText w:val="%1"/>
      <w:lvlJc w:val="left"/>
      <w:pPr>
        <w:tabs>
          <w:tab w:val="num" w:pos="705"/>
        </w:tabs>
        <w:ind w:left="705" w:hanging="705"/>
      </w:pPr>
      <w:rPr>
        <w:rFonts w:hint="default"/>
      </w:rPr>
    </w:lvl>
    <w:lvl w:ilvl="1">
      <w:start w:val="211"/>
      <w:numFmt w:val="decimal"/>
      <w:lvlText w:val="%1-%2"/>
      <w:lvlJc w:val="left"/>
      <w:pPr>
        <w:tabs>
          <w:tab w:val="num" w:pos="3585"/>
        </w:tabs>
        <w:ind w:left="3585" w:hanging="705"/>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num w:numId="1">
    <w:abstractNumId w:val="22"/>
  </w:num>
  <w:num w:numId="2">
    <w:abstractNumId w:val="14"/>
  </w:num>
  <w:num w:numId="3">
    <w:abstractNumId w:val="17"/>
  </w:num>
  <w:num w:numId="4">
    <w:abstractNumId w:val="21"/>
  </w:num>
  <w:num w:numId="5">
    <w:abstractNumId w:val="15"/>
  </w:num>
  <w:num w:numId="6">
    <w:abstractNumId w:val="20"/>
  </w:num>
  <w:num w:numId="7">
    <w:abstractNumId w:val="3"/>
  </w:num>
  <w:num w:numId="8">
    <w:abstractNumId w:val="25"/>
  </w:num>
  <w:num w:numId="9">
    <w:abstractNumId w:val="4"/>
  </w:num>
  <w:num w:numId="10">
    <w:abstractNumId w:val="16"/>
  </w:num>
  <w:num w:numId="11">
    <w:abstractNumId w:val="24"/>
  </w:num>
  <w:num w:numId="12">
    <w:abstractNumId w:val="1"/>
  </w:num>
  <w:num w:numId="13">
    <w:abstractNumId w:val="23"/>
  </w:num>
  <w:num w:numId="14">
    <w:abstractNumId w:val="19"/>
  </w:num>
  <w:num w:numId="15">
    <w:abstractNumId w:val="7"/>
  </w:num>
  <w:num w:numId="16">
    <w:abstractNumId w:val="2"/>
  </w:num>
  <w:num w:numId="17">
    <w:abstractNumId w:val="13"/>
  </w:num>
  <w:num w:numId="18">
    <w:abstractNumId w:val="12"/>
  </w:num>
  <w:num w:numId="19">
    <w:abstractNumId w:val="11"/>
  </w:num>
  <w:num w:numId="20">
    <w:abstractNumId w:val="9"/>
  </w:num>
  <w:num w:numId="21">
    <w:abstractNumId w:val="18"/>
  </w:num>
  <w:num w:numId="22">
    <w:abstractNumId w:val="0"/>
  </w:num>
  <w:num w:numId="23">
    <w:abstractNumId w:val="26"/>
  </w:num>
  <w:num w:numId="24">
    <w:abstractNumId w:val="8"/>
  </w:num>
  <w:num w:numId="25">
    <w:abstractNumId w:val="10"/>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9E"/>
    <w:rsid w:val="00000AE7"/>
    <w:rsid w:val="00002B8C"/>
    <w:rsid w:val="00005A4E"/>
    <w:rsid w:val="0001303C"/>
    <w:rsid w:val="00014284"/>
    <w:rsid w:val="000178FA"/>
    <w:rsid w:val="00030C34"/>
    <w:rsid w:val="00033E4F"/>
    <w:rsid w:val="0003438B"/>
    <w:rsid w:val="00036B5D"/>
    <w:rsid w:val="00037429"/>
    <w:rsid w:val="00037A49"/>
    <w:rsid w:val="00041D5B"/>
    <w:rsid w:val="0004244C"/>
    <w:rsid w:val="00042D31"/>
    <w:rsid w:val="000447D4"/>
    <w:rsid w:val="00056D86"/>
    <w:rsid w:val="0006106D"/>
    <w:rsid w:val="000624A4"/>
    <w:rsid w:val="0006261D"/>
    <w:rsid w:val="0006648D"/>
    <w:rsid w:val="00066894"/>
    <w:rsid w:val="000712D0"/>
    <w:rsid w:val="00075565"/>
    <w:rsid w:val="00076EE5"/>
    <w:rsid w:val="000802C7"/>
    <w:rsid w:val="00086610"/>
    <w:rsid w:val="0009616E"/>
    <w:rsid w:val="000A1F07"/>
    <w:rsid w:val="000A336F"/>
    <w:rsid w:val="000A3466"/>
    <w:rsid w:val="000B2038"/>
    <w:rsid w:val="000B3F7C"/>
    <w:rsid w:val="000B5984"/>
    <w:rsid w:val="000B6449"/>
    <w:rsid w:val="000C21E9"/>
    <w:rsid w:val="000C7148"/>
    <w:rsid w:val="000C790D"/>
    <w:rsid w:val="000D4C3E"/>
    <w:rsid w:val="000E0C87"/>
    <w:rsid w:val="000F2C9D"/>
    <w:rsid w:val="000F658A"/>
    <w:rsid w:val="000F6930"/>
    <w:rsid w:val="00100A10"/>
    <w:rsid w:val="0010399F"/>
    <w:rsid w:val="001043FA"/>
    <w:rsid w:val="0010498D"/>
    <w:rsid w:val="00105ABF"/>
    <w:rsid w:val="00111090"/>
    <w:rsid w:val="00114025"/>
    <w:rsid w:val="00114E37"/>
    <w:rsid w:val="00115223"/>
    <w:rsid w:val="001160B4"/>
    <w:rsid w:val="0012214E"/>
    <w:rsid w:val="00124884"/>
    <w:rsid w:val="0012511E"/>
    <w:rsid w:val="00125333"/>
    <w:rsid w:val="00125617"/>
    <w:rsid w:val="00125BAE"/>
    <w:rsid w:val="00126D79"/>
    <w:rsid w:val="00127344"/>
    <w:rsid w:val="00130844"/>
    <w:rsid w:val="001373B2"/>
    <w:rsid w:val="00140532"/>
    <w:rsid w:val="001418CE"/>
    <w:rsid w:val="00142944"/>
    <w:rsid w:val="00143321"/>
    <w:rsid w:val="00144CF3"/>
    <w:rsid w:val="00145642"/>
    <w:rsid w:val="0016075B"/>
    <w:rsid w:val="00164537"/>
    <w:rsid w:val="00165025"/>
    <w:rsid w:val="00165FE4"/>
    <w:rsid w:val="0016627E"/>
    <w:rsid w:val="00166376"/>
    <w:rsid w:val="0016660C"/>
    <w:rsid w:val="00166B0E"/>
    <w:rsid w:val="00170489"/>
    <w:rsid w:val="00171A0D"/>
    <w:rsid w:val="001747C4"/>
    <w:rsid w:val="00177154"/>
    <w:rsid w:val="00182261"/>
    <w:rsid w:val="001822D9"/>
    <w:rsid w:val="00182B23"/>
    <w:rsid w:val="00183395"/>
    <w:rsid w:val="00184DB5"/>
    <w:rsid w:val="00187505"/>
    <w:rsid w:val="001901EA"/>
    <w:rsid w:val="001903BB"/>
    <w:rsid w:val="00191C78"/>
    <w:rsid w:val="00192B81"/>
    <w:rsid w:val="00192FD4"/>
    <w:rsid w:val="00196D2F"/>
    <w:rsid w:val="00197279"/>
    <w:rsid w:val="00197D3B"/>
    <w:rsid w:val="001A06DD"/>
    <w:rsid w:val="001A25DE"/>
    <w:rsid w:val="001A337F"/>
    <w:rsid w:val="001B2953"/>
    <w:rsid w:val="001B4DF7"/>
    <w:rsid w:val="001B4F65"/>
    <w:rsid w:val="001B52E5"/>
    <w:rsid w:val="001B5A73"/>
    <w:rsid w:val="001B728C"/>
    <w:rsid w:val="001C232C"/>
    <w:rsid w:val="001C2790"/>
    <w:rsid w:val="001C3B52"/>
    <w:rsid w:val="001D138D"/>
    <w:rsid w:val="001D2D7A"/>
    <w:rsid w:val="001E120A"/>
    <w:rsid w:val="001E5F76"/>
    <w:rsid w:val="001F3E6B"/>
    <w:rsid w:val="001F3F4C"/>
    <w:rsid w:val="001F4B25"/>
    <w:rsid w:val="001F5096"/>
    <w:rsid w:val="001F78E9"/>
    <w:rsid w:val="00204790"/>
    <w:rsid w:val="002053DE"/>
    <w:rsid w:val="00205971"/>
    <w:rsid w:val="00205EF3"/>
    <w:rsid w:val="00206A21"/>
    <w:rsid w:val="00210084"/>
    <w:rsid w:val="00210CEB"/>
    <w:rsid w:val="002144F1"/>
    <w:rsid w:val="002164B7"/>
    <w:rsid w:val="00223F5A"/>
    <w:rsid w:val="00227071"/>
    <w:rsid w:val="00234572"/>
    <w:rsid w:val="00234640"/>
    <w:rsid w:val="00234AD2"/>
    <w:rsid w:val="00234FB0"/>
    <w:rsid w:val="00236E7E"/>
    <w:rsid w:val="0024008D"/>
    <w:rsid w:val="0024137E"/>
    <w:rsid w:val="00241B62"/>
    <w:rsid w:val="0024344B"/>
    <w:rsid w:val="00244A28"/>
    <w:rsid w:val="00244F25"/>
    <w:rsid w:val="00245D92"/>
    <w:rsid w:val="00246403"/>
    <w:rsid w:val="00247D97"/>
    <w:rsid w:val="00252EDB"/>
    <w:rsid w:val="00256F55"/>
    <w:rsid w:val="002579F9"/>
    <w:rsid w:val="00260B6F"/>
    <w:rsid w:val="00261175"/>
    <w:rsid w:val="00262B8E"/>
    <w:rsid w:val="00264013"/>
    <w:rsid w:val="00264225"/>
    <w:rsid w:val="00265010"/>
    <w:rsid w:val="0027008D"/>
    <w:rsid w:val="00270C98"/>
    <w:rsid w:val="002722D1"/>
    <w:rsid w:val="00274DD9"/>
    <w:rsid w:val="002808FB"/>
    <w:rsid w:val="00281624"/>
    <w:rsid w:val="0028198C"/>
    <w:rsid w:val="00282B38"/>
    <w:rsid w:val="00282E1D"/>
    <w:rsid w:val="00285D48"/>
    <w:rsid w:val="00285EDF"/>
    <w:rsid w:val="002867B2"/>
    <w:rsid w:val="002869A0"/>
    <w:rsid w:val="00287FB3"/>
    <w:rsid w:val="002909B0"/>
    <w:rsid w:val="00290B83"/>
    <w:rsid w:val="00293492"/>
    <w:rsid w:val="00294CD9"/>
    <w:rsid w:val="002A1EE4"/>
    <w:rsid w:val="002A3850"/>
    <w:rsid w:val="002A391A"/>
    <w:rsid w:val="002A42B6"/>
    <w:rsid w:val="002A4725"/>
    <w:rsid w:val="002B1237"/>
    <w:rsid w:val="002B21BE"/>
    <w:rsid w:val="002B222E"/>
    <w:rsid w:val="002B2259"/>
    <w:rsid w:val="002B504C"/>
    <w:rsid w:val="002B6862"/>
    <w:rsid w:val="002B7F34"/>
    <w:rsid w:val="002C17C6"/>
    <w:rsid w:val="002C42CF"/>
    <w:rsid w:val="002C4C42"/>
    <w:rsid w:val="002C685D"/>
    <w:rsid w:val="002C68B7"/>
    <w:rsid w:val="002D1759"/>
    <w:rsid w:val="002D275E"/>
    <w:rsid w:val="002D29C7"/>
    <w:rsid w:val="002D71D1"/>
    <w:rsid w:val="002E73C4"/>
    <w:rsid w:val="002F0584"/>
    <w:rsid w:val="002F0C93"/>
    <w:rsid w:val="002F590F"/>
    <w:rsid w:val="002F7938"/>
    <w:rsid w:val="003010B6"/>
    <w:rsid w:val="00302641"/>
    <w:rsid w:val="003038D4"/>
    <w:rsid w:val="00305A50"/>
    <w:rsid w:val="003101CB"/>
    <w:rsid w:val="00311030"/>
    <w:rsid w:val="00313EE2"/>
    <w:rsid w:val="0031469E"/>
    <w:rsid w:val="00317246"/>
    <w:rsid w:val="003212B9"/>
    <w:rsid w:val="003215CD"/>
    <w:rsid w:val="00322587"/>
    <w:rsid w:val="00322657"/>
    <w:rsid w:val="00322C25"/>
    <w:rsid w:val="00326D74"/>
    <w:rsid w:val="0033046E"/>
    <w:rsid w:val="00331DA5"/>
    <w:rsid w:val="00331DAE"/>
    <w:rsid w:val="00332FA7"/>
    <w:rsid w:val="00333A51"/>
    <w:rsid w:val="00334CBB"/>
    <w:rsid w:val="0033740E"/>
    <w:rsid w:val="00344FFA"/>
    <w:rsid w:val="003465E3"/>
    <w:rsid w:val="00346F02"/>
    <w:rsid w:val="003477A0"/>
    <w:rsid w:val="00350F04"/>
    <w:rsid w:val="003555A2"/>
    <w:rsid w:val="00355ECF"/>
    <w:rsid w:val="00356D3B"/>
    <w:rsid w:val="00360E2A"/>
    <w:rsid w:val="0036187C"/>
    <w:rsid w:val="00363BF5"/>
    <w:rsid w:val="003704F6"/>
    <w:rsid w:val="003764F4"/>
    <w:rsid w:val="003855E7"/>
    <w:rsid w:val="00387016"/>
    <w:rsid w:val="00393381"/>
    <w:rsid w:val="0039339E"/>
    <w:rsid w:val="00394C37"/>
    <w:rsid w:val="00395FF0"/>
    <w:rsid w:val="003A0FD9"/>
    <w:rsid w:val="003A1880"/>
    <w:rsid w:val="003A4838"/>
    <w:rsid w:val="003B17D7"/>
    <w:rsid w:val="003B5343"/>
    <w:rsid w:val="003B5B25"/>
    <w:rsid w:val="003B60A7"/>
    <w:rsid w:val="003C311C"/>
    <w:rsid w:val="003C6C6F"/>
    <w:rsid w:val="003C6CF4"/>
    <w:rsid w:val="003C7A13"/>
    <w:rsid w:val="003D22F2"/>
    <w:rsid w:val="003D2617"/>
    <w:rsid w:val="003D65E4"/>
    <w:rsid w:val="003E619F"/>
    <w:rsid w:val="003E7687"/>
    <w:rsid w:val="003F0419"/>
    <w:rsid w:val="003F15F5"/>
    <w:rsid w:val="003F26D4"/>
    <w:rsid w:val="003F38A9"/>
    <w:rsid w:val="003F3B2C"/>
    <w:rsid w:val="003F3D09"/>
    <w:rsid w:val="00404925"/>
    <w:rsid w:val="004071C4"/>
    <w:rsid w:val="00407C21"/>
    <w:rsid w:val="00410057"/>
    <w:rsid w:val="00410148"/>
    <w:rsid w:val="0041133A"/>
    <w:rsid w:val="00413C37"/>
    <w:rsid w:val="00414E0D"/>
    <w:rsid w:val="0041529F"/>
    <w:rsid w:val="00417388"/>
    <w:rsid w:val="00422F33"/>
    <w:rsid w:val="00427BA1"/>
    <w:rsid w:val="0044159C"/>
    <w:rsid w:val="00442095"/>
    <w:rsid w:val="00442988"/>
    <w:rsid w:val="004507E8"/>
    <w:rsid w:val="0045312C"/>
    <w:rsid w:val="004544EA"/>
    <w:rsid w:val="00460D1F"/>
    <w:rsid w:val="004610F6"/>
    <w:rsid w:val="004613CB"/>
    <w:rsid w:val="0046161A"/>
    <w:rsid w:val="004626F9"/>
    <w:rsid w:val="00471F3D"/>
    <w:rsid w:val="00472C15"/>
    <w:rsid w:val="00473DC8"/>
    <w:rsid w:val="004753EE"/>
    <w:rsid w:val="0047594F"/>
    <w:rsid w:val="00475B07"/>
    <w:rsid w:val="0047634C"/>
    <w:rsid w:val="004804D4"/>
    <w:rsid w:val="004806DD"/>
    <w:rsid w:val="00483033"/>
    <w:rsid w:val="0048376E"/>
    <w:rsid w:val="00483C05"/>
    <w:rsid w:val="00483D9B"/>
    <w:rsid w:val="00485A01"/>
    <w:rsid w:val="00487E9E"/>
    <w:rsid w:val="00491CC2"/>
    <w:rsid w:val="004A0796"/>
    <w:rsid w:val="004A1D19"/>
    <w:rsid w:val="004A1E0C"/>
    <w:rsid w:val="004A3B0C"/>
    <w:rsid w:val="004A4A6E"/>
    <w:rsid w:val="004A5913"/>
    <w:rsid w:val="004A7A34"/>
    <w:rsid w:val="004B0B4A"/>
    <w:rsid w:val="004B2304"/>
    <w:rsid w:val="004B281F"/>
    <w:rsid w:val="004B3555"/>
    <w:rsid w:val="004B45E0"/>
    <w:rsid w:val="004B4D68"/>
    <w:rsid w:val="004C436C"/>
    <w:rsid w:val="004C66F0"/>
    <w:rsid w:val="004C74EC"/>
    <w:rsid w:val="004D28FD"/>
    <w:rsid w:val="004D5A94"/>
    <w:rsid w:val="004D6079"/>
    <w:rsid w:val="004D6261"/>
    <w:rsid w:val="004D7502"/>
    <w:rsid w:val="004E25D6"/>
    <w:rsid w:val="004E5306"/>
    <w:rsid w:val="004E6DB7"/>
    <w:rsid w:val="004E6F04"/>
    <w:rsid w:val="004E72A0"/>
    <w:rsid w:val="004F1379"/>
    <w:rsid w:val="004F77B2"/>
    <w:rsid w:val="004F7841"/>
    <w:rsid w:val="00505696"/>
    <w:rsid w:val="005072B0"/>
    <w:rsid w:val="0051089D"/>
    <w:rsid w:val="00510A33"/>
    <w:rsid w:val="00512535"/>
    <w:rsid w:val="00515FDE"/>
    <w:rsid w:val="00516A22"/>
    <w:rsid w:val="00517906"/>
    <w:rsid w:val="00521AAC"/>
    <w:rsid w:val="005316F4"/>
    <w:rsid w:val="005338AC"/>
    <w:rsid w:val="00537D3B"/>
    <w:rsid w:val="0054288B"/>
    <w:rsid w:val="00544840"/>
    <w:rsid w:val="00544B89"/>
    <w:rsid w:val="00547208"/>
    <w:rsid w:val="00547B2F"/>
    <w:rsid w:val="0055275A"/>
    <w:rsid w:val="005538FE"/>
    <w:rsid w:val="005568A3"/>
    <w:rsid w:val="005611EF"/>
    <w:rsid w:val="005622AC"/>
    <w:rsid w:val="00562EF1"/>
    <w:rsid w:val="005630A3"/>
    <w:rsid w:val="00565D85"/>
    <w:rsid w:val="00570972"/>
    <w:rsid w:val="0058489B"/>
    <w:rsid w:val="00587DAF"/>
    <w:rsid w:val="0059110D"/>
    <w:rsid w:val="005A12CD"/>
    <w:rsid w:val="005A1A8A"/>
    <w:rsid w:val="005A1D8E"/>
    <w:rsid w:val="005A36BB"/>
    <w:rsid w:val="005B03C7"/>
    <w:rsid w:val="005B0BC4"/>
    <w:rsid w:val="005B0FE7"/>
    <w:rsid w:val="005B2368"/>
    <w:rsid w:val="005B23DB"/>
    <w:rsid w:val="005B2A85"/>
    <w:rsid w:val="005C1933"/>
    <w:rsid w:val="005C1DFE"/>
    <w:rsid w:val="005C4B83"/>
    <w:rsid w:val="005C5A21"/>
    <w:rsid w:val="005C7F4B"/>
    <w:rsid w:val="005D04A1"/>
    <w:rsid w:val="005D072F"/>
    <w:rsid w:val="005D72AB"/>
    <w:rsid w:val="005E2211"/>
    <w:rsid w:val="005E3597"/>
    <w:rsid w:val="005E4B60"/>
    <w:rsid w:val="005E5240"/>
    <w:rsid w:val="005E5C8F"/>
    <w:rsid w:val="005E5F6C"/>
    <w:rsid w:val="005E6C84"/>
    <w:rsid w:val="005F1C48"/>
    <w:rsid w:val="005F1D7E"/>
    <w:rsid w:val="005F208C"/>
    <w:rsid w:val="005F7BD9"/>
    <w:rsid w:val="00604FB7"/>
    <w:rsid w:val="00606838"/>
    <w:rsid w:val="0060794D"/>
    <w:rsid w:val="006107BD"/>
    <w:rsid w:val="006121B2"/>
    <w:rsid w:val="0061408C"/>
    <w:rsid w:val="0061412F"/>
    <w:rsid w:val="00620CEC"/>
    <w:rsid w:val="00621434"/>
    <w:rsid w:val="00621473"/>
    <w:rsid w:val="00622BAB"/>
    <w:rsid w:val="00630504"/>
    <w:rsid w:val="00631A6D"/>
    <w:rsid w:val="00631F1B"/>
    <w:rsid w:val="00631FBA"/>
    <w:rsid w:val="00635014"/>
    <w:rsid w:val="00640208"/>
    <w:rsid w:val="006418C7"/>
    <w:rsid w:val="006421F0"/>
    <w:rsid w:val="0064718B"/>
    <w:rsid w:val="0065210D"/>
    <w:rsid w:val="00652CF7"/>
    <w:rsid w:val="00653559"/>
    <w:rsid w:val="00653C98"/>
    <w:rsid w:val="006561D5"/>
    <w:rsid w:val="006569FF"/>
    <w:rsid w:val="0066423D"/>
    <w:rsid w:val="006648DE"/>
    <w:rsid w:val="006663B4"/>
    <w:rsid w:val="0066782D"/>
    <w:rsid w:val="00671E0F"/>
    <w:rsid w:val="00672895"/>
    <w:rsid w:val="00680A1D"/>
    <w:rsid w:val="00680AE4"/>
    <w:rsid w:val="00681557"/>
    <w:rsid w:val="00681E04"/>
    <w:rsid w:val="00683784"/>
    <w:rsid w:val="00684FC4"/>
    <w:rsid w:val="00685035"/>
    <w:rsid w:val="006910D2"/>
    <w:rsid w:val="00691782"/>
    <w:rsid w:val="0069202A"/>
    <w:rsid w:val="00693CF4"/>
    <w:rsid w:val="006A175E"/>
    <w:rsid w:val="006B287D"/>
    <w:rsid w:val="006B2F53"/>
    <w:rsid w:val="006B4885"/>
    <w:rsid w:val="006B5B91"/>
    <w:rsid w:val="006C2C64"/>
    <w:rsid w:val="006C3E97"/>
    <w:rsid w:val="006C6A0B"/>
    <w:rsid w:val="006C7FE3"/>
    <w:rsid w:val="006D2F57"/>
    <w:rsid w:val="006D45EB"/>
    <w:rsid w:val="006D6BE8"/>
    <w:rsid w:val="006E216C"/>
    <w:rsid w:val="006E705E"/>
    <w:rsid w:val="006F293C"/>
    <w:rsid w:val="006F41A8"/>
    <w:rsid w:val="006F4DD0"/>
    <w:rsid w:val="007002D7"/>
    <w:rsid w:val="00701824"/>
    <w:rsid w:val="00701EF9"/>
    <w:rsid w:val="00706753"/>
    <w:rsid w:val="0071045A"/>
    <w:rsid w:val="00715093"/>
    <w:rsid w:val="00715FF7"/>
    <w:rsid w:val="00723B89"/>
    <w:rsid w:val="00723D22"/>
    <w:rsid w:val="007277FB"/>
    <w:rsid w:val="0073036D"/>
    <w:rsid w:val="007311E0"/>
    <w:rsid w:val="007352F9"/>
    <w:rsid w:val="00741AFE"/>
    <w:rsid w:val="00742311"/>
    <w:rsid w:val="0074401B"/>
    <w:rsid w:val="00750A34"/>
    <w:rsid w:val="007510A5"/>
    <w:rsid w:val="00753104"/>
    <w:rsid w:val="00762151"/>
    <w:rsid w:val="0076269D"/>
    <w:rsid w:val="00765BE8"/>
    <w:rsid w:val="0077177C"/>
    <w:rsid w:val="007727F4"/>
    <w:rsid w:val="00772D95"/>
    <w:rsid w:val="0077314E"/>
    <w:rsid w:val="0077321B"/>
    <w:rsid w:val="007851EE"/>
    <w:rsid w:val="0078561C"/>
    <w:rsid w:val="00785D4B"/>
    <w:rsid w:val="00786312"/>
    <w:rsid w:val="00786E4F"/>
    <w:rsid w:val="007871C4"/>
    <w:rsid w:val="00790682"/>
    <w:rsid w:val="00791194"/>
    <w:rsid w:val="0079171A"/>
    <w:rsid w:val="007937D0"/>
    <w:rsid w:val="00793BF9"/>
    <w:rsid w:val="0079460B"/>
    <w:rsid w:val="00795E4F"/>
    <w:rsid w:val="0079785A"/>
    <w:rsid w:val="007A1384"/>
    <w:rsid w:val="007A32F5"/>
    <w:rsid w:val="007A4DB7"/>
    <w:rsid w:val="007A59AD"/>
    <w:rsid w:val="007A5CC2"/>
    <w:rsid w:val="007B3A73"/>
    <w:rsid w:val="007B53D7"/>
    <w:rsid w:val="007B735D"/>
    <w:rsid w:val="007C048C"/>
    <w:rsid w:val="007C1055"/>
    <w:rsid w:val="007C1C20"/>
    <w:rsid w:val="007C22FE"/>
    <w:rsid w:val="007C374E"/>
    <w:rsid w:val="007C3757"/>
    <w:rsid w:val="007C4525"/>
    <w:rsid w:val="007D097B"/>
    <w:rsid w:val="007D1B94"/>
    <w:rsid w:val="007D1DD7"/>
    <w:rsid w:val="007D5156"/>
    <w:rsid w:val="007D5D73"/>
    <w:rsid w:val="007E01C3"/>
    <w:rsid w:val="007E05AE"/>
    <w:rsid w:val="007E4B55"/>
    <w:rsid w:val="007E4DBF"/>
    <w:rsid w:val="007E5735"/>
    <w:rsid w:val="007E5740"/>
    <w:rsid w:val="007F0D26"/>
    <w:rsid w:val="007F5CC9"/>
    <w:rsid w:val="007F7C62"/>
    <w:rsid w:val="00800FC5"/>
    <w:rsid w:val="00801167"/>
    <w:rsid w:val="008014EF"/>
    <w:rsid w:val="00802D5D"/>
    <w:rsid w:val="00802EB5"/>
    <w:rsid w:val="008032B7"/>
    <w:rsid w:val="0080595D"/>
    <w:rsid w:val="008128B9"/>
    <w:rsid w:val="00816863"/>
    <w:rsid w:val="0082549E"/>
    <w:rsid w:val="008350F7"/>
    <w:rsid w:val="00843944"/>
    <w:rsid w:val="008459A7"/>
    <w:rsid w:val="008460F4"/>
    <w:rsid w:val="008509C5"/>
    <w:rsid w:val="00852F06"/>
    <w:rsid w:val="00853A08"/>
    <w:rsid w:val="0085467E"/>
    <w:rsid w:val="00857EBC"/>
    <w:rsid w:val="00857F70"/>
    <w:rsid w:val="00862A91"/>
    <w:rsid w:val="00871F3D"/>
    <w:rsid w:val="00872E39"/>
    <w:rsid w:val="00876FE2"/>
    <w:rsid w:val="008820CF"/>
    <w:rsid w:val="00885ACB"/>
    <w:rsid w:val="008878AD"/>
    <w:rsid w:val="00887CC9"/>
    <w:rsid w:val="00891A3C"/>
    <w:rsid w:val="00893F04"/>
    <w:rsid w:val="00895237"/>
    <w:rsid w:val="00896865"/>
    <w:rsid w:val="008978EC"/>
    <w:rsid w:val="008A2BFE"/>
    <w:rsid w:val="008A3CB0"/>
    <w:rsid w:val="008A4B07"/>
    <w:rsid w:val="008A4E37"/>
    <w:rsid w:val="008B0BA5"/>
    <w:rsid w:val="008B2A02"/>
    <w:rsid w:val="008B5B07"/>
    <w:rsid w:val="008B7DA9"/>
    <w:rsid w:val="008C075B"/>
    <w:rsid w:val="008C0F64"/>
    <w:rsid w:val="008C3378"/>
    <w:rsid w:val="008C3F8E"/>
    <w:rsid w:val="008C514F"/>
    <w:rsid w:val="008D4298"/>
    <w:rsid w:val="008D5D89"/>
    <w:rsid w:val="008E0B9F"/>
    <w:rsid w:val="008E0F48"/>
    <w:rsid w:val="008E144C"/>
    <w:rsid w:val="008E1B64"/>
    <w:rsid w:val="008E2090"/>
    <w:rsid w:val="008E568B"/>
    <w:rsid w:val="008E6A5B"/>
    <w:rsid w:val="008E7444"/>
    <w:rsid w:val="008F0427"/>
    <w:rsid w:val="008F1678"/>
    <w:rsid w:val="008F48E3"/>
    <w:rsid w:val="00901777"/>
    <w:rsid w:val="00901A8F"/>
    <w:rsid w:val="00910E10"/>
    <w:rsid w:val="00911003"/>
    <w:rsid w:val="0091155D"/>
    <w:rsid w:val="00911D7E"/>
    <w:rsid w:val="00912BF7"/>
    <w:rsid w:val="009143EB"/>
    <w:rsid w:val="00925750"/>
    <w:rsid w:val="00925F69"/>
    <w:rsid w:val="00927626"/>
    <w:rsid w:val="00932287"/>
    <w:rsid w:val="00937596"/>
    <w:rsid w:val="00937950"/>
    <w:rsid w:val="00941951"/>
    <w:rsid w:val="009438CE"/>
    <w:rsid w:val="009453BB"/>
    <w:rsid w:val="00945604"/>
    <w:rsid w:val="00950C27"/>
    <w:rsid w:val="00953883"/>
    <w:rsid w:val="00955084"/>
    <w:rsid w:val="00956B3B"/>
    <w:rsid w:val="009636DE"/>
    <w:rsid w:val="00970F06"/>
    <w:rsid w:val="00971295"/>
    <w:rsid w:val="009716D1"/>
    <w:rsid w:val="00971AFF"/>
    <w:rsid w:val="00974B09"/>
    <w:rsid w:val="009750C3"/>
    <w:rsid w:val="00977AC6"/>
    <w:rsid w:val="00982F7B"/>
    <w:rsid w:val="00985637"/>
    <w:rsid w:val="00985A2F"/>
    <w:rsid w:val="00987663"/>
    <w:rsid w:val="009902A0"/>
    <w:rsid w:val="009925D3"/>
    <w:rsid w:val="00995203"/>
    <w:rsid w:val="009958E6"/>
    <w:rsid w:val="0099759C"/>
    <w:rsid w:val="009A1883"/>
    <w:rsid w:val="009A3204"/>
    <w:rsid w:val="009A5304"/>
    <w:rsid w:val="009A5C19"/>
    <w:rsid w:val="009A75DD"/>
    <w:rsid w:val="009B4C80"/>
    <w:rsid w:val="009B5B5E"/>
    <w:rsid w:val="009B65DA"/>
    <w:rsid w:val="009B6E0D"/>
    <w:rsid w:val="009B7F31"/>
    <w:rsid w:val="009C4027"/>
    <w:rsid w:val="009C42F6"/>
    <w:rsid w:val="009C6D1C"/>
    <w:rsid w:val="009D65DA"/>
    <w:rsid w:val="009E2C39"/>
    <w:rsid w:val="009E5262"/>
    <w:rsid w:val="009E790B"/>
    <w:rsid w:val="009F0B4E"/>
    <w:rsid w:val="009F6D03"/>
    <w:rsid w:val="009F7229"/>
    <w:rsid w:val="00A035D3"/>
    <w:rsid w:val="00A0639B"/>
    <w:rsid w:val="00A11764"/>
    <w:rsid w:val="00A12795"/>
    <w:rsid w:val="00A218F7"/>
    <w:rsid w:val="00A22865"/>
    <w:rsid w:val="00A23A49"/>
    <w:rsid w:val="00A24491"/>
    <w:rsid w:val="00A25300"/>
    <w:rsid w:val="00A25B07"/>
    <w:rsid w:val="00A2720C"/>
    <w:rsid w:val="00A27FE6"/>
    <w:rsid w:val="00A37FB9"/>
    <w:rsid w:val="00A412D4"/>
    <w:rsid w:val="00A41D8F"/>
    <w:rsid w:val="00A420BF"/>
    <w:rsid w:val="00A447F8"/>
    <w:rsid w:val="00A44BEA"/>
    <w:rsid w:val="00A535B6"/>
    <w:rsid w:val="00A5374B"/>
    <w:rsid w:val="00A55481"/>
    <w:rsid w:val="00A57D9D"/>
    <w:rsid w:val="00A6019E"/>
    <w:rsid w:val="00A65C5F"/>
    <w:rsid w:val="00A65CA1"/>
    <w:rsid w:val="00A672DA"/>
    <w:rsid w:val="00A6748D"/>
    <w:rsid w:val="00A709AF"/>
    <w:rsid w:val="00A70C6F"/>
    <w:rsid w:val="00A76165"/>
    <w:rsid w:val="00A80E2D"/>
    <w:rsid w:val="00A8190E"/>
    <w:rsid w:val="00A82899"/>
    <w:rsid w:val="00A86938"/>
    <w:rsid w:val="00A873C9"/>
    <w:rsid w:val="00A910BF"/>
    <w:rsid w:val="00A913C1"/>
    <w:rsid w:val="00A94631"/>
    <w:rsid w:val="00A94735"/>
    <w:rsid w:val="00A96331"/>
    <w:rsid w:val="00A963F3"/>
    <w:rsid w:val="00A96721"/>
    <w:rsid w:val="00A977E3"/>
    <w:rsid w:val="00AA16C2"/>
    <w:rsid w:val="00AA280A"/>
    <w:rsid w:val="00AA36DB"/>
    <w:rsid w:val="00AA6AB3"/>
    <w:rsid w:val="00AB1950"/>
    <w:rsid w:val="00AB4144"/>
    <w:rsid w:val="00AB6B0B"/>
    <w:rsid w:val="00AB6E49"/>
    <w:rsid w:val="00AB7973"/>
    <w:rsid w:val="00AC0A40"/>
    <w:rsid w:val="00AC3147"/>
    <w:rsid w:val="00AC6E24"/>
    <w:rsid w:val="00AD06BE"/>
    <w:rsid w:val="00AD14A8"/>
    <w:rsid w:val="00AD1DA6"/>
    <w:rsid w:val="00AD38C3"/>
    <w:rsid w:val="00AD48D6"/>
    <w:rsid w:val="00AD6690"/>
    <w:rsid w:val="00AD6FEA"/>
    <w:rsid w:val="00AD773B"/>
    <w:rsid w:val="00AE063C"/>
    <w:rsid w:val="00AE2EAD"/>
    <w:rsid w:val="00AE3E77"/>
    <w:rsid w:val="00AF1CB3"/>
    <w:rsid w:val="00AF1F2F"/>
    <w:rsid w:val="00AF2413"/>
    <w:rsid w:val="00AF40C7"/>
    <w:rsid w:val="00AF4ECD"/>
    <w:rsid w:val="00AF4F80"/>
    <w:rsid w:val="00AF6F16"/>
    <w:rsid w:val="00B00B79"/>
    <w:rsid w:val="00B02D88"/>
    <w:rsid w:val="00B06D2E"/>
    <w:rsid w:val="00B07535"/>
    <w:rsid w:val="00B07E5B"/>
    <w:rsid w:val="00B118C2"/>
    <w:rsid w:val="00B122B9"/>
    <w:rsid w:val="00B17DEB"/>
    <w:rsid w:val="00B2106C"/>
    <w:rsid w:val="00B23A6E"/>
    <w:rsid w:val="00B24CEC"/>
    <w:rsid w:val="00B261E7"/>
    <w:rsid w:val="00B306E3"/>
    <w:rsid w:val="00B34AB9"/>
    <w:rsid w:val="00B37A25"/>
    <w:rsid w:val="00B41C79"/>
    <w:rsid w:val="00B42E44"/>
    <w:rsid w:val="00B44CAF"/>
    <w:rsid w:val="00B50604"/>
    <w:rsid w:val="00B5417C"/>
    <w:rsid w:val="00B555B5"/>
    <w:rsid w:val="00B575FC"/>
    <w:rsid w:val="00B5784F"/>
    <w:rsid w:val="00B61764"/>
    <w:rsid w:val="00B622E1"/>
    <w:rsid w:val="00B67F25"/>
    <w:rsid w:val="00B70DC7"/>
    <w:rsid w:val="00B7346C"/>
    <w:rsid w:val="00B74B69"/>
    <w:rsid w:val="00B756BE"/>
    <w:rsid w:val="00B76DE9"/>
    <w:rsid w:val="00B87821"/>
    <w:rsid w:val="00B90375"/>
    <w:rsid w:val="00B92D06"/>
    <w:rsid w:val="00B93686"/>
    <w:rsid w:val="00B9562E"/>
    <w:rsid w:val="00BA29F7"/>
    <w:rsid w:val="00BA5993"/>
    <w:rsid w:val="00BA5C2D"/>
    <w:rsid w:val="00BA7C16"/>
    <w:rsid w:val="00BB3FE4"/>
    <w:rsid w:val="00BB5BB2"/>
    <w:rsid w:val="00BB68D4"/>
    <w:rsid w:val="00BC0596"/>
    <w:rsid w:val="00BC18DE"/>
    <w:rsid w:val="00BC4E1F"/>
    <w:rsid w:val="00BC5B07"/>
    <w:rsid w:val="00BD09B3"/>
    <w:rsid w:val="00BD10B6"/>
    <w:rsid w:val="00BD17BF"/>
    <w:rsid w:val="00BD252E"/>
    <w:rsid w:val="00BD4431"/>
    <w:rsid w:val="00BD5129"/>
    <w:rsid w:val="00BD66B6"/>
    <w:rsid w:val="00BD7E99"/>
    <w:rsid w:val="00BE1056"/>
    <w:rsid w:val="00BE17E8"/>
    <w:rsid w:val="00BE198C"/>
    <w:rsid w:val="00BF17BA"/>
    <w:rsid w:val="00BF1CA7"/>
    <w:rsid w:val="00BF5EF1"/>
    <w:rsid w:val="00C00363"/>
    <w:rsid w:val="00C02A83"/>
    <w:rsid w:val="00C06A9B"/>
    <w:rsid w:val="00C12255"/>
    <w:rsid w:val="00C1293F"/>
    <w:rsid w:val="00C129D5"/>
    <w:rsid w:val="00C140F2"/>
    <w:rsid w:val="00C145B9"/>
    <w:rsid w:val="00C271AB"/>
    <w:rsid w:val="00C2766E"/>
    <w:rsid w:val="00C302C2"/>
    <w:rsid w:val="00C326A9"/>
    <w:rsid w:val="00C329DE"/>
    <w:rsid w:val="00C33FBB"/>
    <w:rsid w:val="00C363B6"/>
    <w:rsid w:val="00C364D5"/>
    <w:rsid w:val="00C378FB"/>
    <w:rsid w:val="00C3792C"/>
    <w:rsid w:val="00C4060A"/>
    <w:rsid w:val="00C40A53"/>
    <w:rsid w:val="00C40C0D"/>
    <w:rsid w:val="00C41451"/>
    <w:rsid w:val="00C42646"/>
    <w:rsid w:val="00C42EA1"/>
    <w:rsid w:val="00C433FC"/>
    <w:rsid w:val="00C43C6D"/>
    <w:rsid w:val="00C45900"/>
    <w:rsid w:val="00C5234E"/>
    <w:rsid w:val="00C56A57"/>
    <w:rsid w:val="00C5766B"/>
    <w:rsid w:val="00C57A24"/>
    <w:rsid w:val="00C603DF"/>
    <w:rsid w:val="00C6137D"/>
    <w:rsid w:val="00C61493"/>
    <w:rsid w:val="00C61CF1"/>
    <w:rsid w:val="00C6505E"/>
    <w:rsid w:val="00C70D49"/>
    <w:rsid w:val="00C71F85"/>
    <w:rsid w:val="00C72C16"/>
    <w:rsid w:val="00C74195"/>
    <w:rsid w:val="00C75517"/>
    <w:rsid w:val="00C765F6"/>
    <w:rsid w:val="00C76C76"/>
    <w:rsid w:val="00C809D1"/>
    <w:rsid w:val="00C810F3"/>
    <w:rsid w:val="00C82660"/>
    <w:rsid w:val="00C861B0"/>
    <w:rsid w:val="00C8700E"/>
    <w:rsid w:val="00C90D18"/>
    <w:rsid w:val="00C94A7A"/>
    <w:rsid w:val="00C94E21"/>
    <w:rsid w:val="00C96089"/>
    <w:rsid w:val="00CA06F1"/>
    <w:rsid w:val="00CA1496"/>
    <w:rsid w:val="00CA5769"/>
    <w:rsid w:val="00CA67E1"/>
    <w:rsid w:val="00CA79B4"/>
    <w:rsid w:val="00CB5B13"/>
    <w:rsid w:val="00CB5BB2"/>
    <w:rsid w:val="00CB5E2E"/>
    <w:rsid w:val="00CB6AB4"/>
    <w:rsid w:val="00CD036D"/>
    <w:rsid w:val="00CD4748"/>
    <w:rsid w:val="00CD488B"/>
    <w:rsid w:val="00CD7B31"/>
    <w:rsid w:val="00CE013A"/>
    <w:rsid w:val="00CE03F6"/>
    <w:rsid w:val="00CE0D0E"/>
    <w:rsid w:val="00CE1922"/>
    <w:rsid w:val="00CE4FB8"/>
    <w:rsid w:val="00CE6100"/>
    <w:rsid w:val="00CF0516"/>
    <w:rsid w:val="00CF08C4"/>
    <w:rsid w:val="00CF29FE"/>
    <w:rsid w:val="00CF301C"/>
    <w:rsid w:val="00CF3B00"/>
    <w:rsid w:val="00CF49B7"/>
    <w:rsid w:val="00D00968"/>
    <w:rsid w:val="00D01543"/>
    <w:rsid w:val="00D03450"/>
    <w:rsid w:val="00D036C7"/>
    <w:rsid w:val="00D06D1D"/>
    <w:rsid w:val="00D10108"/>
    <w:rsid w:val="00D11441"/>
    <w:rsid w:val="00D12001"/>
    <w:rsid w:val="00D14373"/>
    <w:rsid w:val="00D1447C"/>
    <w:rsid w:val="00D26ACD"/>
    <w:rsid w:val="00D301DA"/>
    <w:rsid w:val="00D341FF"/>
    <w:rsid w:val="00D34807"/>
    <w:rsid w:val="00D34ADB"/>
    <w:rsid w:val="00D34CF5"/>
    <w:rsid w:val="00D36A2A"/>
    <w:rsid w:val="00D37073"/>
    <w:rsid w:val="00D40041"/>
    <w:rsid w:val="00D40BC1"/>
    <w:rsid w:val="00D41111"/>
    <w:rsid w:val="00D42E19"/>
    <w:rsid w:val="00D51656"/>
    <w:rsid w:val="00D53686"/>
    <w:rsid w:val="00D550D0"/>
    <w:rsid w:val="00D55587"/>
    <w:rsid w:val="00D61805"/>
    <w:rsid w:val="00D65A54"/>
    <w:rsid w:val="00D66376"/>
    <w:rsid w:val="00D66478"/>
    <w:rsid w:val="00D71DA3"/>
    <w:rsid w:val="00D7480F"/>
    <w:rsid w:val="00D760A1"/>
    <w:rsid w:val="00D8326C"/>
    <w:rsid w:val="00D84C46"/>
    <w:rsid w:val="00D90D05"/>
    <w:rsid w:val="00D93020"/>
    <w:rsid w:val="00D97441"/>
    <w:rsid w:val="00DA0FA4"/>
    <w:rsid w:val="00DA2CD1"/>
    <w:rsid w:val="00DA391F"/>
    <w:rsid w:val="00DA4810"/>
    <w:rsid w:val="00DA4A4E"/>
    <w:rsid w:val="00DA6B4F"/>
    <w:rsid w:val="00DB39DE"/>
    <w:rsid w:val="00DB4740"/>
    <w:rsid w:val="00DC537F"/>
    <w:rsid w:val="00DD1A47"/>
    <w:rsid w:val="00DD1F8B"/>
    <w:rsid w:val="00DD3A1C"/>
    <w:rsid w:val="00DD555B"/>
    <w:rsid w:val="00DD743F"/>
    <w:rsid w:val="00DE2FD5"/>
    <w:rsid w:val="00DE4038"/>
    <w:rsid w:val="00DE74C4"/>
    <w:rsid w:val="00DF0AAC"/>
    <w:rsid w:val="00DF39C6"/>
    <w:rsid w:val="00DF3C94"/>
    <w:rsid w:val="00DF497A"/>
    <w:rsid w:val="00DF63F1"/>
    <w:rsid w:val="00E00964"/>
    <w:rsid w:val="00E00E28"/>
    <w:rsid w:val="00E02661"/>
    <w:rsid w:val="00E02B0C"/>
    <w:rsid w:val="00E04B1E"/>
    <w:rsid w:val="00E04C06"/>
    <w:rsid w:val="00E06B85"/>
    <w:rsid w:val="00E115B9"/>
    <w:rsid w:val="00E12BF2"/>
    <w:rsid w:val="00E13C7A"/>
    <w:rsid w:val="00E148F8"/>
    <w:rsid w:val="00E15975"/>
    <w:rsid w:val="00E200A4"/>
    <w:rsid w:val="00E202C5"/>
    <w:rsid w:val="00E20E72"/>
    <w:rsid w:val="00E212D1"/>
    <w:rsid w:val="00E21314"/>
    <w:rsid w:val="00E2207E"/>
    <w:rsid w:val="00E224C0"/>
    <w:rsid w:val="00E22846"/>
    <w:rsid w:val="00E232DF"/>
    <w:rsid w:val="00E23BC7"/>
    <w:rsid w:val="00E263CF"/>
    <w:rsid w:val="00E3077E"/>
    <w:rsid w:val="00E314AF"/>
    <w:rsid w:val="00E3177C"/>
    <w:rsid w:val="00E32470"/>
    <w:rsid w:val="00E32E18"/>
    <w:rsid w:val="00E33424"/>
    <w:rsid w:val="00E364F0"/>
    <w:rsid w:val="00E41914"/>
    <w:rsid w:val="00E41A26"/>
    <w:rsid w:val="00E423B0"/>
    <w:rsid w:val="00E45E4F"/>
    <w:rsid w:val="00E56D5A"/>
    <w:rsid w:val="00E60B4E"/>
    <w:rsid w:val="00E61661"/>
    <w:rsid w:val="00E623E1"/>
    <w:rsid w:val="00E6542E"/>
    <w:rsid w:val="00E65A28"/>
    <w:rsid w:val="00E66D0C"/>
    <w:rsid w:val="00E7016E"/>
    <w:rsid w:val="00E70A47"/>
    <w:rsid w:val="00E7263F"/>
    <w:rsid w:val="00E73DDF"/>
    <w:rsid w:val="00E75792"/>
    <w:rsid w:val="00E8263D"/>
    <w:rsid w:val="00E82705"/>
    <w:rsid w:val="00E84D07"/>
    <w:rsid w:val="00E8644F"/>
    <w:rsid w:val="00E86840"/>
    <w:rsid w:val="00E87754"/>
    <w:rsid w:val="00E9272A"/>
    <w:rsid w:val="00E9442E"/>
    <w:rsid w:val="00E944F2"/>
    <w:rsid w:val="00EA1A37"/>
    <w:rsid w:val="00EA21D8"/>
    <w:rsid w:val="00EA28CB"/>
    <w:rsid w:val="00EA5AC9"/>
    <w:rsid w:val="00EB2CE7"/>
    <w:rsid w:val="00EB3230"/>
    <w:rsid w:val="00EB60D6"/>
    <w:rsid w:val="00EC02A7"/>
    <w:rsid w:val="00EC15F1"/>
    <w:rsid w:val="00EC6D55"/>
    <w:rsid w:val="00ED29EE"/>
    <w:rsid w:val="00EE14A9"/>
    <w:rsid w:val="00EE441D"/>
    <w:rsid w:val="00EE4F59"/>
    <w:rsid w:val="00EE5054"/>
    <w:rsid w:val="00EE6C37"/>
    <w:rsid w:val="00EF06BE"/>
    <w:rsid w:val="00EF4E37"/>
    <w:rsid w:val="00EF5378"/>
    <w:rsid w:val="00EF71B5"/>
    <w:rsid w:val="00EF7B86"/>
    <w:rsid w:val="00EF7B97"/>
    <w:rsid w:val="00F008C7"/>
    <w:rsid w:val="00F0457C"/>
    <w:rsid w:val="00F0694F"/>
    <w:rsid w:val="00F10A52"/>
    <w:rsid w:val="00F10B5F"/>
    <w:rsid w:val="00F11664"/>
    <w:rsid w:val="00F138DE"/>
    <w:rsid w:val="00F14257"/>
    <w:rsid w:val="00F1452E"/>
    <w:rsid w:val="00F22699"/>
    <w:rsid w:val="00F22B2A"/>
    <w:rsid w:val="00F234E9"/>
    <w:rsid w:val="00F23B41"/>
    <w:rsid w:val="00F26979"/>
    <w:rsid w:val="00F276B9"/>
    <w:rsid w:val="00F27CC5"/>
    <w:rsid w:val="00F306DC"/>
    <w:rsid w:val="00F400B5"/>
    <w:rsid w:val="00F43BC9"/>
    <w:rsid w:val="00F45CAF"/>
    <w:rsid w:val="00F47B5E"/>
    <w:rsid w:val="00F50A89"/>
    <w:rsid w:val="00F60180"/>
    <w:rsid w:val="00F63E75"/>
    <w:rsid w:val="00F7002B"/>
    <w:rsid w:val="00F70A12"/>
    <w:rsid w:val="00F75DE7"/>
    <w:rsid w:val="00F80FC8"/>
    <w:rsid w:val="00F81AB6"/>
    <w:rsid w:val="00F8625B"/>
    <w:rsid w:val="00F8633B"/>
    <w:rsid w:val="00F87B5C"/>
    <w:rsid w:val="00F912C5"/>
    <w:rsid w:val="00F912FE"/>
    <w:rsid w:val="00F93AC9"/>
    <w:rsid w:val="00F94EE9"/>
    <w:rsid w:val="00FA049D"/>
    <w:rsid w:val="00FA200F"/>
    <w:rsid w:val="00FB02EF"/>
    <w:rsid w:val="00FB464D"/>
    <w:rsid w:val="00FB50A4"/>
    <w:rsid w:val="00FB6C1E"/>
    <w:rsid w:val="00FC08B9"/>
    <w:rsid w:val="00FC2AAE"/>
    <w:rsid w:val="00FC369F"/>
    <w:rsid w:val="00FC41AA"/>
    <w:rsid w:val="00FC5CB3"/>
    <w:rsid w:val="00FD5668"/>
    <w:rsid w:val="00FE1A1A"/>
    <w:rsid w:val="00FE4199"/>
    <w:rsid w:val="00FE7778"/>
    <w:rsid w:val="00FF025C"/>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ind w:left="2160" w:hanging="720"/>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pPr>
      <w:jc w:val="center"/>
    </w:pPr>
    <w:rPr>
      <w:sz w:val="36"/>
    </w:rPr>
  </w:style>
  <w:style w:type="paragraph" w:styleId="BodyText">
    <w:name w:val="Body Text"/>
    <w:basedOn w:val="Normal"/>
    <w:pPr>
      <w:ind w:left="1440"/>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3">
    <w:name w:val="Body Text 3"/>
    <w:basedOn w:val="Normal"/>
    <w:pPr>
      <w:jc w:val="both"/>
    </w:pPr>
    <w:rPr>
      <w:sz w:val="24"/>
    </w:rPr>
  </w:style>
  <w:style w:type="paragraph" w:styleId="Header">
    <w:name w:val="header"/>
    <w:basedOn w:val="Normal"/>
    <w:rsid w:val="00B34AB9"/>
    <w:pPr>
      <w:tabs>
        <w:tab w:val="center" w:pos="4320"/>
        <w:tab w:val="right" w:pos="8640"/>
      </w:tabs>
    </w:pPr>
  </w:style>
  <w:style w:type="paragraph" w:styleId="TOC1">
    <w:name w:val="toc 1"/>
    <w:basedOn w:val="Normal"/>
    <w:next w:val="Normal"/>
    <w:autoRedefine/>
    <w:semiHidden/>
    <w:rsid w:val="007871C4"/>
  </w:style>
  <w:style w:type="paragraph" w:styleId="TOC2">
    <w:name w:val="toc 2"/>
    <w:basedOn w:val="Normal"/>
    <w:next w:val="Normal"/>
    <w:autoRedefine/>
    <w:semiHidden/>
    <w:rsid w:val="007871C4"/>
    <w:pPr>
      <w:ind w:left="200"/>
    </w:pPr>
  </w:style>
  <w:style w:type="paragraph" w:styleId="TOC3">
    <w:name w:val="toc 3"/>
    <w:basedOn w:val="Normal"/>
    <w:next w:val="Normal"/>
    <w:autoRedefine/>
    <w:semiHidden/>
    <w:rsid w:val="007871C4"/>
    <w:pPr>
      <w:ind w:left="400"/>
    </w:pPr>
  </w:style>
  <w:style w:type="character" w:styleId="Hyperlink">
    <w:name w:val="Hyperlink"/>
    <w:uiPriority w:val="99"/>
    <w:rsid w:val="007871C4"/>
    <w:rPr>
      <w:color w:val="0000FF"/>
      <w:u w:val="single"/>
    </w:rPr>
  </w:style>
  <w:style w:type="character" w:customStyle="1" w:styleId="pagesubtitle1">
    <w:name w:val="pagesubtitle1"/>
    <w:rsid w:val="005622AC"/>
    <w:rPr>
      <w:strike w:val="0"/>
      <w:dstrike w:val="0"/>
      <w:u w:val="none"/>
      <w:effect w:val="none"/>
    </w:rPr>
  </w:style>
  <w:style w:type="character" w:customStyle="1" w:styleId="pagelogindetails1">
    <w:name w:val="pagelogindetails1"/>
    <w:rsid w:val="005622AC"/>
    <w:rPr>
      <w:b/>
      <w:bCs/>
      <w:color w:val="696969"/>
      <w:sz w:val="16"/>
      <w:szCs w:val="16"/>
    </w:rPr>
  </w:style>
  <w:style w:type="character" w:customStyle="1" w:styleId="jurfytitle1">
    <w:name w:val="jurfytitle1"/>
    <w:rsid w:val="005622AC"/>
    <w:rPr>
      <w:rFonts w:ascii="Verdana" w:hAnsi="Verdana" w:hint="default"/>
      <w:b/>
      <w:bCs/>
      <w:color w:val="0000FF"/>
      <w:sz w:val="20"/>
      <w:szCs w:val="20"/>
    </w:rPr>
  </w:style>
  <w:style w:type="character" w:customStyle="1" w:styleId="formfieldnamenopaddingalt">
    <w:name w:val="formfieldnamenopaddingalt"/>
    <w:basedOn w:val="DefaultParagraphFont"/>
    <w:rsid w:val="005622AC"/>
  </w:style>
  <w:style w:type="paragraph" w:styleId="BalloonText">
    <w:name w:val="Balloon Text"/>
    <w:basedOn w:val="Normal"/>
    <w:link w:val="BalloonTextChar"/>
    <w:rsid w:val="00F50A89"/>
    <w:rPr>
      <w:rFonts w:ascii="Tahoma" w:hAnsi="Tahoma" w:cs="Tahoma"/>
      <w:sz w:val="16"/>
      <w:szCs w:val="16"/>
    </w:rPr>
  </w:style>
  <w:style w:type="character" w:customStyle="1" w:styleId="BalloonTextChar">
    <w:name w:val="Balloon Text Char"/>
    <w:link w:val="BalloonText"/>
    <w:rsid w:val="00F50A89"/>
    <w:rPr>
      <w:rFonts w:ascii="Tahoma" w:hAnsi="Tahoma" w:cs="Tahoma"/>
      <w:sz w:val="16"/>
      <w:szCs w:val="16"/>
    </w:rPr>
  </w:style>
  <w:style w:type="paragraph" w:styleId="z-TopofForm">
    <w:name w:val="HTML Top of Form"/>
    <w:basedOn w:val="Normal"/>
    <w:next w:val="Normal"/>
    <w:link w:val="z-TopofFormChar"/>
    <w:hidden/>
    <w:rsid w:val="00C43C6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43C6D"/>
    <w:rPr>
      <w:rFonts w:ascii="Arial" w:hAnsi="Arial" w:cs="Arial"/>
      <w:vanish/>
      <w:sz w:val="16"/>
      <w:szCs w:val="16"/>
    </w:rPr>
  </w:style>
  <w:style w:type="paragraph" w:styleId="z-BottomofForm">
    <w:name w:val="HTML Bottom of Form"/>
    <w:basedOn w:val="Normal"/>
    <w:next w:val="Normal"/>
    <w:link w:val="z-BottomofFormChar"/>
    <w:hidden/>
    <w:rsid w:val="00C43C6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43C6D"/>
    <w:rPr>
      <w:rFonts w:ascii="Arial" w:hAnsi="Arial" w:cs="Arial"/>
      <w:vanish/>
      <w:sz w:val="16"/>
      <w:szCs w:val="16"/>
    </w:rPr>
  </w:style>
  <w:style w:type="table" w:styleId="TableGrid">
    <w:name w:val="Table Grid"/>
    <w:basedOn w:val="TableNormal"/>
    <w:rsid w:val="00410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1005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4100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FooterChar">
    <w:name w:val="Footer Char"/>
    <w:link w:val="Footer"/>
    <w:uiPriority w:val="99"/>
    <w:rsid w:val="003B5B25"/>
  </w:style>
  <w:style w:type="character" w:styleId="FollowedHyperlink">
    <w:name w:val="FollowedHyperlink"/>
    <w:rsid w:val="003465E3"/>
    <w:rPr>
      <w:color w:val="800080"/>
      <w:u w:val="single"/>
    </w:rPr>
  </w:style>
  <w:style w:type="paragraph" w:styleId="NormalWeb">
    <w:name w:val="Normal (Web)"/>
    <w:basedOn w:val="Normal"/>
    <w:uiPriority w:val="99"/>
    <w:unhideWhenUsed/>
    <w:rsid w:val="0033740E"/>
    <w:pPr>
      <w:spacing w:before="100" w:beforeAutospacing="1" w:after="100" w:afterAutospacing="1"/>
    </w:pPr>
    <w:rPr>
      <w:sz w:val="24"/>
      <w:szCs w:val="24"/>
    </w:rPr>
  </w:style>
  <w:style w:type="character" w:customStyle="1" w:styleId="pagetitle">
    <w:name w:val="pagetitle"/>
    <w:rsid w:val="00DD743F"/>
  </w:style>
  <w:style w:type="character" w:customStyle="1" w:styleId="pagesubtitle">
    <w:name w:val="pagesubtitle"/>
    <w:rsid w:val="00DD743F"/>
  </w:style>
  <w:style w:type="character" w:customStyle="1" w:styleId="systemalertmessage1">
    <w:name w:val="systemalertmessage1"/>
    <w:rsid w:val="00DD743F"/>
    <w:rPr>
      <w:rFonts w:ascii="Tahoma" w:hAnsi="Tahoma" w:cs="Tahoma" w:hint="default"/>
      <w:b w:val="0"/>
      <w:bCs w:val="0"/>
      <w:color w:val="000000"/>
      <w:sz w:val="18"/>
      <w:szCs w:val="18"/>
      <w:shd w:val="clear" w:color="auto" w:fill="F0F0E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sz w:val="28"/>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ind w:left="2160" w:hanging="720"/>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pPr>
      <w:jc w:val="center"/>
    </w:pPr>
    <w:rPr>
      <w:sz w:val="36"/>
    </w:rPr>
  </w:style>
  <w:style w:type="paragraph" w:styleId="BodyText">
    <w:name w:val="Body Text"/>
    <w:basedOn w:val="Normal"/>
    <w:pPr>
      <w:ind w:left="1440"/>
      <w:jc w:val="both"/>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3">
    <w:name w:val="Body Text 3"/>
    <w:basedOn w:val="Normal"/>
    <w:pPr>
      <w:jc w:val="both"/>
    </w:pPr>
    <w:rPr>
      <w:sz w:val="24"/>
    </w:rPr>
  </w:style>
  <w:style w:type="paragraph" w:styleId="Header">
    <w:name w:val="header"/>
    <w:basedOn w:val="Normal"/>
    <w:rsid w:val="00B34AB9"/>
    <w:pPr>
      <w:tabs>
        <w:tab w:val="center" w:pos="4320"/>
        <w:tab w:val="right" w:pos="8640"/>
      </w:tabs>
    </w:pPr>
  </w:style>
  <w:style w:type="paragraph" w:styleId="TOC1">
    <w:name w:val="toc 1"/>
    <w:basedOn w:val="Normal"/>
    <w:next w:val="Normal"/>
    <w:autoRedefine/>
    <w:semiHidden/>
    <w:rsid w:val="007871C4"/>
  </w:style>
  <w:style w:type="paragraph" w:styleId="TOC2">
    <w:name w:val="toc 2"/>
    <w:basedOn w:val="Normal"/>
    <w:next w:val="Normal"/>
    <w:autoRedefine/>
    <w:semiHidden/>
    <w:rsid w:val="007871C4"/>
    <w:pPr>
      <w:ind w:left="200"/>
    </w:pPr>
  </w:style>
  <w:style w:type="paragraph" w:styleId="TOC3">
    <w:name w:val="toc 3"/>
    <w:basedOn w:val="Normal"/>
    <w:next w:val="Normal"/>
    <w:autoRedefine/>
    <w:semiHidden/>
    <w:rsid w:val="007871C4"/>
    <w:pPr>
      <w:ind w:left="400"/>
    </w:pPr>
  </w:style>
  <w:style w:type="character" w:styleId="Hyperlink">
    <w:name w:val="Hyperlink"/>
    <w:uiPriority w:val="99"/>
    <w:rsid w:val="007871C4"/>
    <w:rPr>
      <w:color w:val="0000FF"/>
      <w:u w:val="single"/>
    </w:rPr>
  </w:style>
  <w:style w:type="character" w:customStyle="1" w:styleId="pagesubtitle1">
    <w:name w:val="pagesubtitle1"/>
    <w:rsid w:val="005622AC"/>
    <w:rPr>
      <w:strike w:val="0"/>
      <w:dstrike w:val="0"/>
      <w:u w:val="none"/>
      <w:effect w:val="none"/>
    </w:rPr>
  </w:style>
  <w:style w:type="character" w:customStyle="1" w:styleId="pagelogindetails1">
    <w:name w:val="pagelogindetails1"/>
    <w:rsid w:val="005622AC"/>
    <w:rPr>
      <w:b/>
      <w:bCs/>
      <w:color w:val="696969"/>
      <w:sz w:val="16"/>
      <w:szCs w:val="16"/>
    </w:rPr>
  </w:style>
  <w:style w:type="character" w:customStyle="1" w:styleId="jurfytitle1">
    <w:name w:val="jurfytitle1"/>
    <w:rsid w:val="005622AC"/>
    <w:rPr>
      <w:rFonts w:ascii="Verdana" w:hAnsi="Verdana" w:hint="default"/>
      <w:b/>
      <w:bCs/>
      <w:color w:val="0000FF"/>
      <w:sz w:val="20"/>
      <w:szCs w:val="20"/>
    </w:rPr>
  </w:style>
  <w:style w:type="character" w:customStyle="1" w:styleId="formfieldnamenopaddingalt">
    <w:name w:val="formfieldnamenopaddingalt"/>
    <w:basedOn w:val="DefaultParagraphFont"/>
    <w:rsid w:val="005622AC"/>
  </w:style>
  <w:style w:type="paragraph" w:styleId="BalloonText">
    <w:name w:val="Balloon Text"/>
    <w:basedOn w:val="Normal"/>
    <w:link w:val="BalloonTextChar"/>
    <w:rsid w:val="00F50A89"/>
    <w:rPr>
      <w:rFonts w:ascii="Tahoma" w:hAnsi="Tahoma" w:cs="Tahoma"/>
      <w:sz w:val="16"/>
      <w:szCs w:val="16"/>
    </w:rPr>
  </w:style>
  <w:style w:type="character" w:customStyle="1" w:styleId="BalloonTextChar">
    <w:name w:val="Balloon Text Char"/>
    <w:link w:val="BalloonText"/>
    <w:rsid w:val="00F50A89"/>
    <w:rPr>
      <w:rFonts w:ascii="Tahoma" w:hAnsi="Tahoma" w:cs="Tahoma"/>
      <w:sz w:val="16"/>
      <w:szCs w:val="16"/>
    </w:rPr>
  </w:style>
  <w:style w:type="paragraph" w:styleId="z-TopofForm">
    <w:name w:val="HTML Top of Form"/>
    <w:basedOn w:val="Normal"/>
    <w:next w:val="Normal"/>
    <w:link w:val="z-TopofFormChar"/>
    <w:hidden/>
    <w:rsid w:val="00C43C6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C43C6D"/>
    <w:rPr>
      <w:rFonts w:ascii="Arial" w:hAnsi="Arial" w:cs="Arial"/>
      <w:vanish/>
      <w:sz w:val="16"/>
      <w:szCs w:val="16"/>
    </w:rPr>
  </w:style>
  <w:style w:type="paragraph" w:styleId="z-BottomofForm">
    <w:name w:val="HTML Bottom of Form"/>
    <w:basedOn w:val="Normal"/>
    <w:next w:val="Normal"/>
    <w:link w:val="z-BottomofFormChar"/>
    <w:hidden/>
    <w:rsid w:val="00C43C6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C43C6D"/>
    <w:rPr>
      <w:rFonts w:ascii="Arial" w:hAnsi="Arial" w:cs="Arial"/>
      <w:vanish/>
      <w:sz w:val="16"/>
      <w:szCs w:val="16"/>
    </w:rPr>
  </w:style>
  <w:style w:type="table" w:styleId="TableGrid">
    <w:name w:val="Table Grid"/>
    <w:basedOn w:val="TableNormal"/>
    <w:rsid w:val="00410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1005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4100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FooterChar">
    <w:name w:val="Footer Char"/>
    <w:link w:val="Footer"/>
    <w:uiPriority w:val="99"/>
    <w:rsid w:val="003B5B25"/>
  </w:style>
  <w:style w:type="character" w:styleId="FollowedHyperlink">
    <w:name w:val="FollowedHyperlink"/>
    <w:rsid w:val="003465E3"/>
    <w:rPr>
      <w:color w:val="800080"/>
      <w:u w:val="single"/>
    </w:rPr>
  </w:style>
  <w:style w:type="paragraph" w:styleId="NormalWeb">
    <w:name w:val="Normal (Web)"/>
    <w:basedOn w:val="Normal"/>
    <w:uiPriority w:val="99"/>
    <w:unhideWhenUsed/>
    <w:rsid w:val="0033740E"/>
    <w:pPr>
      <w:spacing w:before="100" w:beforeAutospacing="1" w:after="100" w:afterAutospacing="1"/>
    </w:pPr>
    <w:rPr>
      <w:sz w:val="24"/>
      <w:szCs w:val="24"/>
    </w:rPr>
  </w:style>
  <w:style w:type="character" w:customStyle="1" w:styleId="pagetitle">
    <w:name w:val="pagetitle"/>
    <w:rsid w:val="00DD743F"/>
  </w:style>
  <w:style w:type="character" w:customStyle="1" w:styleId="pagesubtitle">
    <w:name w:val="pagesubtitle"/>
    <w:rsid w:val="00DD743F"/>
  </w:style>
  <w:style w:type="character" w:customStyle="1" w:styleId="systemalertmessage1">
    <w:name w:val="systemalertmessage1"/>
    <w:rsid w:val="00DD743F"/>
    <w:rPr>
      <w:rFonts w:ascii="Tahoma" w:hAnsi="Tahoma" w:cs="Tahoma" w:hint="default"/>
      <w:b w:val="0"/>
      <w:bCs w:val="0"/>
      <w:color w:val="000000"/>
      <w:sz w:val="18"/>
      <w:szCs w:val="18"/>
      <w:shd w:val="clear" w:color="auto" w:fill="F0F0E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879">
      <w:bodyDiv w:val="1"/>
      <w:marLeft w:val="0"/>
      <w:marRight w:val="0"/>
      <w:marTop w:val="0"/>
      <w:marBottom w:val="0"/>
      <w:divBdr>
        <w:top w:val="none" w:sz="0" w:space="0" w:color="auto"/>
        <w:left w:val="none" w:sz="0" w:space="0" w:color="auto"/>
        <w:bottom w:val="none" w:sz="0" w:space="0" w:color="auto"/>
        <w:right w:val="none" w:sz="0" w:space="0" w:color="auto"/>
      </w:divBdr>
    </w:div>
    <w:div w:id="30615579">
      <w:bodyDiv w:val="1"/>
      <w:marLeft w:val="0"/>
      <w:marRight w:val="0"/>
      <w:marTop w:val="0"/>
      <w:marBottom w:val="0"/>
      <w:divBdr>
        <w:top w:val="none" w:sz="0" w:space="0" w:color="auto"/>
        <w:left w:val="none" w:sz="0" w:space="0" w:color="auto"/>
        <w:bottom w:val="none" w:sz="0" w:space="0" w:color="auto"/>
        <w:right w:val="none" w:sz="0" w:space="0" w:color="auto"/>
      </w:divBdr>
    </w:div>
    <w:div w:id="30768319">
      <w:bodyDiv w:val="1"/>
      <w:marLeft w:val="0"/>
      <w:marRight w:val="0"/>
      <w:marTop w:val="0"/>
      <w:marBottom w:val="0"/>
      <w:divBdr>
        <w:top w:val="none" w:sz="0" w:space="0" w:color="auto"/>
        <w:left w:val="none" w:sz="0" w:space="0" w:color="auto"/>
        <w:bottom w:val="none" w:sz="0" w:space="0" w:color="auto"/>
        <w:right w:val="none" w:sz="0" w:space="0" w:color="auto"/>
      </w:divBdr>
    </w:div>
    <w:div w:id="58209328">
      <w:bodyDiv w:val="1"/>
      <w:marLeft w:val="0"/>
      <w:marRight w:val="0"/>
      <w:marTop w:val="0"/>
      <w:marBottom w:val="0"/>
      <w:divBdr>
        <w:top w:val="none" w:sz="0" w:space="0" w:color="auto"/>
        <w:left w:val="none" w:sz="0" w:space="0" w:color="auto"/>
        <w:bottom w:val="none" w:sz="0" w:space="0" w:color="auto"/>
        <w:right w:val="none" w:sz="0" w:space="0" w:color="auto"/>
      </w:divBdr>
    </w:div>
    <w:div w:id="73088229">
      <w:bodyDiv w:val="1"/>
      <w:marLeft w:val="0"/>
      <w:marRight w:val="0"/>
      <w:marTop w:val="0"/>
      <w:marBottom w:val="0"/>
      <w:divBdr>
        <w:top w:val="none" w:sz="0" w:space="0" w:color="auto"/>
        <w:left w:val="none" w:sz="0" w:space="0" w:color="auto"/>
        <w:bottom w:val="none" w:sz="0" w:space="0" w:color="auto"/>
        <w:right w:val="none" w:sz="0" w:space="0" w:color="auto"/>
      </w:divBdr>
    </w:div>
    <w:div w:id="74056332">
      <w:bodyDiv w:val="1"/>
      <w:marLeft w:val="0"/>
      <w:marRight w:val="0"/>
      <w:marTop w:val="0"/>
      <w:marBottom w:val="0"/>
      <w:divBdr>
        <w:top w:val="none" w:sz="0" w:space="0" w:color="auto"/>
        <w:left w:val="none" w:sz="0" w:space="0" w:color="auto"/>
        <w:bottom w:val="none" w:sz="0" w:space="0" w:color="auto"/>
        <w:right w:val="none" w:sz="0" w:space="0" w:color="auto"/>
      </w:divBdr>
    </w:div>
    <w:div w:id="103615252">
      <w:bodyDiv w:val="1"/>
      <w:marLeft w:val="0"/>
      <w:marRight w:val="0"/>
      <w:marTop w:val="0"/>
      <w:marBottom w:val="0"/>
      <w:divBdr>
        <w:top w:val="none" w:sz="0" w:space="0" w:color="auto"/>
        <w:left w:val="none" w:sz="0" w:space="0" w:color="auto"/>
        <w:bottom w:val="none" w:sz="0" w:space="0" w:color="auto"/>
        <w:right w:val="none" w:sz="0" w:space="0" w:color="auto"/>
      </w:divBdr>
    </w:div>
    <w:div w:id="114957249">
      <w:bodyDiv w:val="1"/>
      <w:marLeft w:val="0"/>
      <w:marRight w:val="0"/>
      <w:marTop w:val="0"/>
      <w:marBottom w:val="0"/>
      <w:divBdr>
        <w:top w:val="none" w:sz="0" w:space="0" w:color="auto"/>
        <w:left w:val="none" w:sz="0" w:space="0" w:color="auto"/>
        <w:bottom w:val="none" w:sz="0" w:space="0" w:color="auto"/>
        <w:right w:val="none" w:sz="0" w:space="0" w:color="auto"/>
      </w:divBdr>
    </w:div>
    <w:div w:id="126243840">
      <w:bodyDiv w:val="1"/>
      <w:marLeft w:val="0"/>
      <w:marRight w:val="0"/>
      <w:marTop w:val="0"/>
      <w:marBottom w:val="0"/>
      <w:divBdr>
        <w:top w:val="none" w:sz="0" w:space="0" w:color="auto"/>
        <w:left w:val="none" w:sz="0" w:space="0" w:color="auto"/>
        <w:bottom w:val="none" w:sz="0" w:space="0" w:color="auto"/>
        <w:right w:val="none" w:sz="0" w:space="0" w:color="auto"/>
      </w:divBdr>
    </w:div>
    <w:div w:id="134104060">
      <w:bodyDiv w:val="1"/>
      <w:marLeft w:val="0"/>
      <w:marRight w:val="0"/>
      <w:marTop w:val="0"/>
      <w:marBottom w:val="0"/>
      <w:divBdr>
        <w:top w:val="none" w:sz="0" w:space="0" w:color="auto"/>
        <w:left w:val="none" w:sz="0" w:space="0" w:color="auto"/>
        <w:bottom w:val="none" w:sz="0" w:space="0" w:color="auto"/>
        <w:right w:val="none" w:sz="0" w:space="0" w:color="auto"/>
      </w:divBdr>
    </w:div>
    <w:div w:id="174996629">
      <w:bodyDiv w:val="1"/>
      <w:marLeft w:val="0"/>
      <w:marRight w:val="0"/>
      <w:marTop w:val="0"/>
      <w:marBottom w:val="0"/>
      <w:divBdr>
        <w:top w:val="none" w:sz="0" w:space="0" w:color="auto"/>
        <w:left w:val="none" w:sz="0" w:space="0" w:color="auto"/>
        <w:bottom w:val="none" w:sz="0" w:space="0" w:color="auto"/>
        <w:right w:val="none" w:sz="0" w:space="0" w:color="auto"/>
      </w:divBdr>
    </w:div>
    <w:div w:id="182088823">
      <w:bodyDiv w:val="1"/>
      <w:marLeft w:val="0"/>
      <w:marRight w:val="0"/>
      <w:marTop w:val="0"/>
      <w:marBottom w:val="0"/>
      <w:divBdr>
        <w:top w:val="none" w:sz="0" w:space="0" w:color="auto"/>
        <w:left w:val="none" w:sz="0" w:space="0" w:color="auto"/>
        <w:bottom w:val="none" w:sz="0" w:space="0" w:color="auto"/>
        <w:right w:val="none" w:sz="0" w:space="0" w:color="auto"/>
      </w:divBdr>
    </w:div>
    <w:div w:id="219363206">
      <w:bodyDiv w:val="1"/>
      <w:marLeft w:val="0"/>
      <w:marRight w:val="0"/>
      <w:marTop w:val="0"/>
      <w:marBottom w:val="0"/>
      <w:divBdr>
        <w:top w:val="none" w:sz="0" w:space="0" w:color="auto"/>
        <w:left w:val="none" w:sz="0" w:space="0" w:color="auto"/>
        <w:bottom w:val="none" w:sz="0" w:space="0" w:color="auto"/>
        <w:right w:val="none" w:sz="0" w:space="0" w:color="auto"/>
      </w:divBdr>
    </w:div>
    <w:div w:id="233902958">
      <w:bodyDiv w:val="1"/>
      <w:marLeft w:val="0"/>
      <w:marRight w:val="0"/>
      <w:marTop w:val="0"/>
      <w:marBottom w:val="0"/>
      <w:divBdr>
        <w:top w:val="none" w:sz="0" w:space="0" w:color="auto"/>
        <w:left w:val="none" w:sz="0" w:space="0" w:color="auto"/>
        <w:bottom w:val="none" w:sz="0" w:space="0" w:color="auto"/>
        <w:right w:val="none" w:sz="0" w:space="0" w:color="auto"/>
      </w:divBdr>
      <w:divsChild>
        <w:div w:id="1280601439">
          <w:marLeft w:val="0"/>
          <w:marRight w:val="0"/>
          <w:marTop w:val="0"/>
          <w:marBottom w:val="0"/>
          <w:divBdr>
            <w:top w:val="none" w:sz="0" w:space="0" w:color="auto"/>
            <w:left w:val="none" w:sz="0" w:space="0" w:color="auto"/>
            <w:bottom w:val="none" w:sz="0" w:space="0" w:color="auto"/>
            <w:right w:val="none" w:sz="0" w:space="0" w:color="auto"/>
          </w:divBdr>
          <w:divsChild>
            <w:div w:id="1948001002">
              <w:marLeft w:val="0"/>
              <w:marRight w:val="0"/>
              <w:marTop w:val="0"/>
              <w:marBottom w:val="0"/>
              <w:divBdr>
                <w:top w:val="none" w:sz="0" w:space="0" w:color="auto"/>
                <w:left w:val="none" w:sz="0" w:space="0" w:color="auto"/>
                <w:bottom w:val="none" w:sz="0" w:space="0" w:color="auto"/>
                <w:right w:val="none" w:sz="0" w:space="0" w:color="auto"/>
              </w:divBdr>
              <w:divsChild>
                <w:div w:id="1725174872">
                  <w:marLeft w:val="0"/>
                  <w:marRight w:val="0"/>
                  <w:marTop w:val="0"/>
                  <w:marBottom w:val="0"/>
                  <w:divBdr>
                    <w:top w:val="none" w:sz="0" w:space="0" w:color="auto"/>
                    <w:left w:val="none" w:sz="0" w:space="0" w:color="auto"/>
                    <w:bottom w:val="none" w:sz="0" w:space="0" w:color="auto"/>
                    <w:right w:val="none" w:sz="0" w:space="0" w:color="auto"/>
                  </w:divBdr>
                  <w:divsChild>
                    <w:div w:id="1236286423">
                      <w:marLeft w:val="0"/>
                      <w:marRight w:val="0"/>
                      <w:marTop w:val="0"/>
                      <w:marBottom w:val="0"/>
                      <w:divBdr>
                        <w:top w:val="none" w:sz="0" w:space="0" w:color="auto"/>
                        <w:left w:val="none" w:sz="0" w:space="0" w:color="auto"/>
                        <w:bottom w:val="none" w:sz="0" w:space="0" w:color="auto"/>
                        <w:right w:val="none" w:sz="0" w:space="0" w:color="auto"/>
                      </w:divBdr>
                      <w:divsChild>
                        <w:div w:id="1793090209">
                          <w:marLeft w:val="0"/>
                          <w:marRight w:val="0"/>
                          <w:marTop w:val="0"/>
                          <w:marBottom w:val="0"/>
                          <w:divBdr>
                            <w:top w:val="none" w:sz="0" w:space="0" w:color="auto"/>
                            <w:left w:val="none" w:sz="0" w:space="0" w:color="auto"/>
                            <w:bottom w:val="none" w:sz="0" w:space="0" w:color="auto"/>
                            <w:right w:val="none" w:sz="0" w:space="0" w:color="auto"/>
                          </w:divBdr>
                          <w:divsChild>
                            <w:div w:id="21022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8975">
                      <w:marLeft w:val="0"/>
                      <w:marRight w:val="0"/>
                      <w:marTop w:val="0"/>
                      <w:marBottom w:val="0"/>
                      <w:divBdr>
                        <w:top w:val="none" w:sz="0" w:space="0" w:color="auto"/>
                        <w:left w:val="none" w:sz="0" w:space="0" w:color="auto"/>
                        <w:bottom w:val="none" w:sz="0" w:space="0" w:color="auto"/>
                        <w:right w:val="none" w:sz="0" w:space="0" w:color="auto"/>
                      </w:divBdr>
                      <w:divsChild>
                        <w:div w:id="19050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154892">
      <w:bodyDiv w:val="1"/>
      <w:marLeft w:val="0"/>
      <w:marRight w:val="0"/>
      <w:marTop w:val="0"/>
      <w:marBottom w:val="0"/>
      <w:divBdr>
        <w:top w:val="none" w:sz="0" w:space="0" w:color="auto"/>
        <w:left w:val="none" w:sz="0" w:space="0" w:color="auto"/>
        <w:bottom w:val="none" w:sz="0" w:space="0" w:color="auto"/>
        <w:right w:val="none" w:sz="0" w:space="0" w:color="auto"/>
      </w:divBdr>
      <w:divsChild>
        <w:div w:id="2137405197">
          <w:marLeft w:val="0"/>
          <w:marRight w:val="0"/>
          <w:marTop w:val="0"/>
          <w:marBottom w:val="0"/>
          <w:divBdr>
            <w:top w:val="none" w:sz="0" w:space="0" w:color="auto"/>
            <w:left w:val="none" w:sz="0" w:space="0" w:color="auto"/>
            <w:bottom w:val="none" w:sz="0" w:space="0" w:color="auto"/>
            <w:right w:val="none" w:sz="0" w:space="0" w:color="auto"/>
          </w:divBdr>
          <w:divsChild>
            <w:div w:id="1695768558">
              <w:marLeft w:val="0"/>
              <w:marRight w:val="0"/>
              <w:marTop w:val="0"/>
              <w:marBottom w:val="0"/>
              <w:divBdr>
                <w:top w:val="none" w:sz="0" w:space="0" w:color="auto"/>
                <w:left w:val="none" w:sz="0" w:space="0" w:color="auto"/>
                <w:bottom w:val="none" w:sz="0" w:space="0" w:color="auto"/>
                <w:right w:val="none" w:sz="0" w:space="0" w:color="auto"/>
              </w:divBdr>
              <w:divsChild>
                <w:div w:id="669021074">
                  <w:marLeft w:val="0"/>
                  <w:marRight w:val="0"/>
                  <w:marTop w:val="0"/>
                  <w:marBottom w:val="0"/>
                  <w:divBdr>
                    <w:top w:val="none" w:sz="0" w:space="0" w:color="auto"/>
                    <w:left w:val="none" w:sz="0" w:space="0" w:color="auto"/>
                    <w:bottom w:val="none" w:sz="0" w:space="0" w:color="auto"/>
                    <w:right w:val="none" w:sz="0" w:space="0" w:color="auto"/>
                  </w:divBdr>
                  <w:divsChild>
                    <w:div w:id="728462384">
                      <w:marLeft w:val="0"/>
                      <w:marRight w:val="0"/>
                      <w:marTop w:val="0"/>
                      <w:marBottom w:val="0"/>
                      <w:divBdr>
                        <w:top w:val="none" w:sz="0" w:space="0" w:color="auto"/>
                        <w:left w:val="none" w:sz="0" w:space="0" w:color="auto"/>
                        <w:bottom w:val="none" w:sz="0" w:space="0" w:color="auto"/>
                        <w:right w:val="none" w:sz="0" w:space="0" w:color="auto"/>
                      </w:divBdr>
                      <w:divsChild>
                        <w:div w:id="51513195">
                          <w:marLeft w:val="0"/>
                          <w:marRight w:val="0"/>
                          <w:marTop w:val="0"/>
                          <w:marBottom w:val="0"/>
                          <w:divBdr>
                            <w:top w:val="none" w:sz="0" w:space="0" w:color="auto"/>
                            <w:left w:val="none" w:sz="0" w:space="0" w:color="auto"/>
                            <w:bottom w:val="none" w:sz="0" w:space="0" w:color="auto"/>
                            <w:right w:val="none" w:sz="0" w:space="0" w:color="auto"/>
                          </w:divBdr>
                        </w:div>
                      </w:divsChild>
                    </w:div>
                    <w:div w:id="11367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93003">
      <w:bodyDiv w:val="1"/>
      <w:marLeft w:val="0"/>
      <w:marRight w:val="0"/>
      <w:marTop w:val="0"/>
      <w:marBottom w:val="0"/>
      <w:divBdr>
        <w:top w:val="none" w:sz="0" w:space="0" w:color="auto"/>
        <w:left w:val="none" w:sz="0" w:space="0" w:color="auto"/>
        <w:bottom w:val="none" w:sz="0" w:space="0" w:color="auto"/>
        <w:right w:val="none" w:sz="0" w:space="0" w:color="auto"/>
      </w:divBdr>
    </w:div>
    <w:div w:id="294605679">
      <w:bodyDiv w:val="1"/>
      <w:marLeft w:val="0"/>
      <w:marRight w:val="0"/>
      <w:marTop w:val="0"/>
      <w:marBottom w:val="0"/>
      <w:divBdr>
        <w:top w:val="none" w:sz="0" w:space="0" w:color="auto"/>
        <w:left w:val="none" w:sz="0" w:space="0" w:color="auto"/>
        <w:bottom w:val="none" w:sz="0" w:space="0" w:color="auto"/>
        <w:right w:val="none" w:sz="0" w:space="0" w:color="auto"/>
      </w:divBdr>
    </w:div>
    <w:div w:id="301735544">
      <w:bodyDiv w:val="1"/>
      <w:marLeft w:val="0"/>
      <w:marRight w:val="0"/>
      <w:marTop w:val="0"/>
      <w:marBottom w:val="0"/>
      <w:divBdr>
        <w:top w:val="none" w:sz="0" w:space="0" w:color="auto"/>
        <w:left w:val="none" w:sz="0" w:space="0" w:color="auto"/>
        <w:bottom w:val="none" w:sz="0" w:space="0" w:color="auto"/>
        <w:right w:val="none" w:sz="0" w:space="0" w:color="auto"/>
      </w:divBdr>
    </w:div>
    <w:div w:id="305163976">
      <w:bodyDiv w:val="1"/>
      <w:marLeft w:val="0"/>
      <w:marRight w:val="0"/>
      <w:marTop w:val="0"/>
      <w:marBottom w:val="0"/>
      <w:divBdr>
        <w:top w:val="none" w:sz="0" w:space="0" w:color="auto"/>
        <w:left w:val="none" w:sz="0" w:space="0" w:color="auto"/>
        <w:bottom w:val="none" w:sz="0" w:space="0" w:color="auto"/>
        <w:right w:val="none" w:sz="0" w:space="0" w:color="auto"/>
      </w:divBdr>
    </w:div>
    <w:div w:id="311911658">
      <w:bodyDiv w:val="1"/>
      <w:marLeft w:val="0"/>
      <w:marRight w:val="0"/>
      <w:marTop w:val="0"/>
      <w:marBottom w:val="0"/>
      <w:divBdr>
        <w:top w:val="none" w:sz="0" w:space="0" w:color="auto"/>
        <w:left w:val="none" w:sz="0" w:space="0" w:color="auto"/>
        <w:bottom w:val="none" w:sz="0" w:space="0" w:color="auto"/>
        <w:right w:val="none" w:sz="0" w:space="0" w:color="auto"/>
      </w:divBdr>
    </w:div>
    <w:div w:id="409472497">
      <w:bodyDiv w:val="1"/>
      <w:marLeft w:val="0"/>
      <w:marRight w:val="0"/>
      <w:marTop w:val="0"/>
      <w:marBottom w:val="0"/>
      <w:divBdr>
        <w:top w:val="none" w:sz="0" w:space="0" w:color="auto"/>
        <w:left w:val="none" w:sz="0" w:space="0" w:color="auto"/>
        <w:bottom w:val="none" w:sz="0" w:space="0" w:color="auto"/>
        <w:right w:val="none" w:sz="0" w:space="0" w:color="auto"/>
      </w:divBdr>
    </w:div>
    <w:div w:id="448203711">
      <w:bodyDiv w:val="1"/>
      <w:marLeft w:val="0"/>
      <w:marRight w:val="0"/>
      <w:marTop w:val="0"/>
      <w:marBottom w:val="0"/>
      <w:divBdr>
        <w:top w:val="none" w:sz="0" w:space="0" w:color="auto"/>
        <w:left w:val="none" w:sz="0" w:space="0" w:color="auto"/>
        <w:bottom w:val="none" w:sz="0" w:space="0" w:color="auto"/>
        <w:right w:val="none" w:sz="0" w:space="0" w:color="auto"/>
      </w:divBdr>
    </w:div>
    <w:div w:id="458765256">
      <w:bodyDiv w:val="1"/>
      <w:marLeft w:val="0"/>
      <w:marRight w:val="0"/>
      <w:marTop w:val="0"/>
      <w:marBottom w:val="0"/>
      <w:divBdr>
        <w:top w:val="none" w:sz="0" w:space="0" w:color="auto"/>
        <w:left w:val="none" w:sz="0" w:space="0" w:color="auto"/>
        <w:bottom w:val="none" w:sz="0" w:space="0" w:color="auto"/>
        <w:right w:val="none" w:sz="0" w:space="0" w:color="auto"/>
      </w:divBdr>
    </w:div>
    <w:div w:id="458963801">
      <w:bodyDiv w:val="1"/>
      <w:marLeft w:val="0"/>
      <w:marRight w:val="0"/>
      <w:marTop w:val="0"/>
      <w:marBottom w:val="0"/>
      <w:divBdr>
        <w:top w:val="none" w:sz="0" w:space="0" w:color="auto"/>
        <w:left w:val="none" w:sz="0" w:space="0" w:color="auto"/>
        <w:bottom w:val="none" w:sz="0" w:space="0" w:color="auto"/>
        <w:right w:val="none" w:sz="0" w:space="0" w:color="auto"/>
      </w:divBdr>
    </w:div>
    <w:div w:id="471599928">
      <w:bodyDiv w:val="1"/>
      <w:marLeft w:val="0"/>
      <w:marRight w:val="0"/>
      <w:marTop w:val="0"/>
      <w:marBottom w:val="0"/>
      <w:divBdr>
        <w:top w:val="none" w:sz="0" w:space="0" w:color="auto"/>
        <w:left w:val="none" w:sz="0" w:space="0" w:color="auto"/>
        <w:bottom w:val="none" w:sz="0" w:space="0" w:color="auto"/>
        <w:right w:val="none" w:sz="0" w:space="0" w:color="auto"/>
      </w:divBdr>
    </w:div>
    <w:div w:id="474298525">
      <w:bodyDiv w:val="1"/>
      <w:marLeft w:val="0"/>
      <w:marRight w:val="0"/>
      <w:marTop w:val="0"/>
      <w:marBottom w:val="0"/>
      <w:divBdr>
        <w:top w:val="none" w:sz="0" w:space="0" w:color="auto"/>
        <w:left w:val="none" w:sz="0" w:space="0" w:color="auto"/>
        <w:bottom w:val="none" w:sz="0" w:space="0" w:color="auto"/>
        <w:right w:val="none" w:sz="0" w:space="0" w:color="auto"/>
      </w:divBdr>
    </w:div>
    <w:div w:id="477303576">
      <w:bodyDiv w:val="1"/>
      <w:marLeft w:val="0"/>
      <w:marRight w:val="0"/>
      <w:marTop w:val="0"/>
      <w:marBottom w:val="0"/>
      <w:divBdr>
        <w:top w:val="none" w:sz="0" w:space="0" w:color="auto"/>
        <w:left w:val="none" w:sz="0" w:space="0" w:color="auto"/>
        <w:bottom w:val="none" w:sz="0" w:space="0" w:color="auto"/>
        <w:right w:val="none" w:sz="0" w:space="0" w:color="auto"/>
      </w:divBdr>
    </w:div>
    <w:div w:id="489753591">
      <w:bodyDiv w:val="1"/>
      <w:marLeft w:val="0"/>
      <w:marRight w:val="0"/>
      <w:marTop w:val="0"/>
      <w:marBottom w:val="0"/>
      <w:divBdr>
        <w:top w:val="none" w:sz="0" w:space="0" w:color="auto"/>
        <w:left w:val="none" w:sz="0" w:space="0" w:color="auto"/>
        <w:bottom w:val="none" w:sz="0" w:space="0" w:color="auto"/>
        <w:right w:val="none" w:sz="0" w:space="0" w:color="auto"/>
      </w:divBdr>
    </w:div>
    <w:div w:id="489948858">
      <w:bodyDiv w:val="1"/>
      <w:marLeft w:val="0"/>
      <w:marRight w:val="0"/>
      <w:marTop w:val="0"/>
      <w:marBottom w:val="0"/>
      <w:divBdr>
        <w:top w:val="none" w:sz="0" w:space="0" w:color="auto"/>
        <w:left w:val="none" w:sz="0" w:space="0" w:color="auto"/>
        <w:bottom w:val="none" w:sz="0" w:space="0" w:color="auto"/>
        <w:right w:val="none" w:sz="0" w:space="0" w:color="auto"/>
      </w:divBdr>
    </w:div>
    <w:div w:id="518588814">
      <w:bodyDiv w:val="1"/>
      <w:marLeft w:val="0"/>
      <w:marRight w:val="0"/>
      <w:marTop w:val="0"/>
      <w:marBottom w:val="0"/>
      <w:divBdr>
        <w:top w:val="none" w:sz="0" w:space="0" w:color="auto"/>
        <w:left w:val="none" w:sz="0" w:space="0" w:color="auto"/>
        <w:bottom w:val="none" w:sz="0" w:space="0" w:color="auto"/>
        <w:right w:val="none" w:sz="0" w:space="0" w:color="auto"/>
      </w:divBdr>
    </w:div>
    <w:div w:id="545217062">
      <w:bodyDiv w:val="1"/>
      <w:marLeft w:val="0"/>
      <w:marRight w:val="0"/>
      <w:marTop w:val="0"/>
      <w:marBottom w:val="0"/>
      <w:divBdr>
        <w:top w:val="none" w:sz="0" w:space="0" w:color="auto"/>
        <w:left w:val="none" w:sz="0" w:space="0" w:color="auto"/>
        <w:bottom w:val="none" w:sz="0" w:space="0" w:color="auto"/>
        <w:right w:val="none" w:sz="0" w:space="0" w:color="auto"/>
      </w:divBdr>
    </w:div>
    <w:div w:id="556820755">
      <w:bodyDiv w:val="1"/>
      <w:marLeft w:val="0"/>
      <w:marRight w:val="0"/>
      <w:marTop w:val="0"/>
      <w:marBottom w:val="0"/>
      <w:divBdr>
        <w:top w:val="none" w:sz="0" w:space="0" w:color="auto"/>
        <w:left w:val="none" w:sz="0" w:space="0" w:color="auto"/>
        <w:bottom w:val="none" w:sz="0" w:space="0" w:color="auto"/>
        <w:right w:val="none" w:sz="0" w:space="0" w:color="auto"/>
      </w:divBdr>
    </w:div>
    <w:div w:id="562955610">
      <w:bodyDiv w:val="1"/>
      <w:marLeft w:val="0"/>
      <w:marRight w:val="0"/>
      <w:marTop w:val="0"/>
      <w:marBottom w:val="0"/>
      <w:divBdr>
        <w:top w:val="none" w:sz="0" w:space="0" w:color="auto"/>
        <w:left w:val="none" w:sz="0" w:space="0" w:color="auto"/>
        <w:bottom w:val="none" w:sz="0" w:space="0" w:color="auto"/>
        <w:right w:val="none" w:sz="0" w:space="0" w:color="auto"/>
      </w:divBdr>
      <w:divsChild>
        <w:div w:id="1163661340">
          <w:marLeft w:val="0"/>
          <w:marRight w:val="0"/>
          <w:marTop w:val="0"/>
          <w:marBottom w:val="0"/>
          <w:divBdr>
            <w:top w:val="none" w:sz="0" w:space="0" w:color="auto"/>
            <w:left w:val="none" w:sz="0" w:space="0" w:color="auto"/>
            <w:bottom w:val="none" w:sz="0" w:space="0" w:color="auto"/>
            <w:right w:val="none" w:sz="0" w:space="0" w:color="auto"/>
          </w:divBdr>
          <w:divsChild>
            <w:div w:id="576675114">
              <w:marLeft w:val="0"/>
              <w:marRight w:val="0"/>
              <w:marTop w:val="0"/>
              <w:marBottom w:val="0"/>
              <w:divBdr>
                <w:top w:val="none" w:sz="0" w:space="0" w:color="auto"/>
                <w:left w:val="none" w:sz="0" w:space="0" w:color="auto"/>
                <w:bottom w:val="none" w:sz="0" w:space="0" w:color="auto"/>
                <w:right w:val="none" w:sz="0" w:space="0" w:color="auto"/>
              </w:divBdr>
              <w:divsChild>
                <w:div w:id="1161585438">
                  <w:marLeft w:val="0"/>
                  <w:marRight w:val="0"/>
                  <w:marTop w:val="0"/>
                  <w:marBottom w:val="0"/>
                  <w:divBdr>
                    <w:top w:val="none" w:sz="0" w:space="0" w:color="auto"/>
                    <w:left w:val="none" w:sz="0" w:space="0" w:color="auto"/>
                    <w:bottom w:val="none" w:sz="0" w:space="0" w:color="auto"/>
                    <w:right w:val="none" w:sz="0" w:space="0" w:color="auto"/>
                  </w:divBdr>
                  <w:divsChild>
                    <w:div w:id="1114061751">
                      <w:marLeft w:val="0"/>
                      <w:marRight w:val="0"/>
                      <w:marTop w:val="0"/>
                      <w:marBottom w:val="0"/>
                      <w:divBdr>
                        <w:top w:val="none" w:sz="0" w:space="0" w:color="auto"/>
                        <w:left w:val="none" w:sz="0" w:space="0" w:color="auto"/>
                        <w:bottom w:val="none" w:sz="0" w:space="0" w:color="auto"/>
                        <w:right w:val="none" w:sz="0" w:space="0" w:color="auto"/>
                      </w:divBdr>
                      <w:divsChild>
                        <w:div w:id="1973944482">
                          <w:marLeft w:val="0"/>
                          <w:marRight w:val="0"/>
                          <w:marTop w:val="0"/>
                          <w:marBottom w:val="0"/>
                          <w:divBdr>
                            <w:top w:val="none" w:sz="0" w:space="0" w:color="auto"/>
                            <w:left w:val="none" w:sz="0" w:space="0" w:color="auto"/>
                            <w:bottom w:val="none" w:sz="0" w:space="0" w:color="auto"/>
                            <w:right w:val="none" w:sz="0" w:space="0" w:color="auto"/>
                          </w:divBdr>
                        </w:div>
                      </w:divsChild>
                    </w:div>
                    <w:div w:id="1413428448">
                      <w:marLeft w:val="0"/>
                      <w:marRight w:val="0"/>
                      <w:marTop w:val="0"/>
                      <w:marBottom w:val="0"/>
                      <w:divBdr>
                        <w:top w:val="none" w:sz="0" w:space="0" w:color="auto"/>
                        <w:left w:val="none" w:sz="0" w:space="0" w:color="auto"/>
                        <w:bottom w:val="none" w:sz="0" w:space="0" w:color="auto"/>
                        <w:right w:val="none" w:sz="0" w:space="0" w:color="auto"/>
                      </w:divBdr>
                      <w:divsChild>
                        <w:div w:id="644433691">
                          <w:marLeft w:val="0"/>
                          <w:marRight w:val="0"/>
                          <w:marTop w:val="0"/>
                          <w:marBottom w:val="0"/>
                          <w:divBdr>
                            <w:top w:val="none" w:sz="0" w:space="0" w:color="auto"/>
                            <w:left w:val="none" w:sz="0" w:space="0" w:color="auto"/>
                            <w:bottom w:val="none" w:sz="0" w:space="0" w:color="auto"/>
                            <w:right w:val="none" w:sz="0" w:space="0" w:color="auto"/>
                          </w:divBdr>
                          <w:divsChild>
                            <w:div w:id="8559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67770">
      <w:bodyDiv w:val="1"/>
      <w:marLeft w:val="0"/>
      <w:marRight w:val="0"/>
      <w:marTop w:val="0"/>
      <w:marBottom w:val="0"/>
      <w:divBdr>
        <w:top w:val="none" w:sz="0" w:space="0" w:color="auto"/>
        <w:left w:val="none" w:sz="0" w:space="0" w:color="auto"/>
        <w:bottom w:val="none" w:sz="0" w:space="0" w:color="auto"/>
        <w:right w:val="none" w:sz="0" w:space="0" w:color="auto"/>
      </w:divBdr>
    </w:div>
    <w:div w:id="569463465">
      <w:bodyDiv w:val="1"/>
      <w:marLeft w:val="0"/>
      <w:marRight w:val="0"/>
      <w:marTop w:val="0"/>
      <w:marBottom w:val="0"/>
      <w:divBdr>
        <w:top w:val="none" w:sz="0" w:space="0" w:color="auto"/>
        <w:left w:val="none" w:sz="0" w:space="0" w:color="auto"/>
        <w:bottom w:val="none" w:sz="0" w:space="0" w:color="auto"/>
        <w:right w:val="none" w:sz="0" w:space="0" w:color="auto"/>
      </w:divBdr>
    </w:div>
    <w:div w:id="625742127">
      <w:bodyDiv w:val="1"/>
      <w:marLeft w:val="0"/>
      <w:marRight w:val="0"/>
      <w:marTop w:val="0"/>
      <w:marBottom w:val="0"/>
      <w:divBdr>
        <w:top w:val="none" w:sz="0" w:space="0" w:color="auto"/>
        <w:left w:val="none" w:sz="0" w:space="0" w:color="auto"/>
        <w:bottom w:val="none" w:sz="0" w:space="0" w:color="auto"/>
        <w:right w:val="none" w:sz="0" w:space="0" w:color="auto"/>
      </w:divBdr>
    </w:div>
    <w:div w:id="635111092">
      <w:bodyDiv w:val="1"/>
      <w:marLeft w:val="0"/>
      <w:marRight w:val="0"/>
      <w:marTop w:val="0"/>
      <w:marBottom w:val="0"/>
      <w:divBdr>
        <w:top w:val="none" w:sz="0" w:space="0" w:color="auto"/>
        <w:left w:val="none" w:sz="0" w:space="0" w:color="auto"/>
        <w:bottom w:val="none" w:sz="0" w:space="0" w:color="auto"/>
        <w:right w:val="none" w:sz="0" w:space="0" w:color="auto"/>
      </w:divBdr>
    </w:div>
    <w:div w:id="642469407">
      <w:bodyDiv w:val="1"/>
      <w:marLeft w:val="0"/>
      <w:marRight w:val="0"/>
      <w:marTop w:val="0"/>
      <w:marBottom w:val="0"/>
      <w:divBdr>
        <w:top w:val="none" w:sz="0" w:space="0" w:color="auto"/>
        <w:left w:val="none" w:sz="0" w:space="0" w:color="auto"/>
        <w:bottom w:val="none" w:sz="0" w:space="0" w:color="auto"/>
        <w:right w:val="none" w:sz="0" w:space="0" w:color="auto"/>
      </w:divBdr>
      <w:divsChild>
        <w:div w:id="1997495166">
          <w:marLeft w:val="0"/>
          <w:marRight w:val="0"/>
          <w:marTop w:val="0"/>
          <w:marBottom w:val="0"/>
          <w:divBdr>
            <w:top w:val="none" w:sz="0" w:space="0" w:color="auto"/>
            <w:left w:val="none" w:sz="0" w:space="0" w:color="auto"/>
            <w:bottom w:val="none" w:sz="0" w:space="0" w:color="auto"/>
            <w:right w:val="none" w:sz="0" w:space="0" w:color="auto"/>
          </w:divBdr>
          <w:divsChild>
            <w:div w:id="1405177498">
              <w:marLeft w:val="0"/>
              <w:marRight w:val="0"/>
              <w:marTop w:val="0"/>
              <w:marBottom w:val="0"/>
              <w:divBdr>
                <w:top w:val="none" w:sz="0" w:space="0" w:color="auto"/>
                <w:left w:val="none" w:sz="0" w:space="0" w:color="auto"/>
                <w:bottom w:val="none" w:sz="0" w:space="0" w:color="auto"/>
                <w:right w:val="none" w:sz="0" w:space="0" w:color="auto"/>
              </w:divBdr>
              <w:divsChild>
                <w:div w:id="601718445">
                  <w:marLeft w:val="0"/>
                  <w:marRight w:val="0"/>
                  <w:marTop w:val="0"/>
                  <w:marBottom w:val="0"/>
                  <w:divBdr>
                    <w:top w:val="none" w:sz="0" w:space="0" w:color="auto"/>
                    <w:left w:val="none" w:sz="0" w:space="0" w:color="auto"/>
                    <w:bottom w:val="none" w:sz="0" w:space="0" w:color="auto"/>
                    <w:right w:val="none" w:sz="0" w:space="0" w:color="auto"/>
                  </w:divBdr>
                  <w:divsChild>
                    <w:div w:id="1854952491">
                      <w:marLeft w:val="0"/>
                      <w:marRight w:val="0"/>
                      <w:marTop w:val="0"/>
                      <w:marBottom w:val="0"/>
                      <w:divBdr>
                        <w:top w:val="none" w:sz="0" w:space="0" w:color="auto"/>
                        <w:left w:val="none" w:sz="0" w:space="0" w:color="auto"/>
                        <w:bottom w:val="none" w:sz="0" w:space="0" w:color="auto"/>
                        <w:right w:val="none" w:sz="0" w:space="0" w:color="auto"/>
                      </w:divBdr>
                      <w:divsChild>
                        <w:div w:id="3156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76649">
      <w:bodyDiv w:val="1"/>
      <w:marLeft w:val="0"/>
      <w:marRight w:val="0"/>
      <w:marTop w:val="0"/>
      <w:marBottom w:val="0"/>
      <w:divBdr>
        <w:top w:val="none" w:sz="0" w:space="0" w:color="auto"/>
        <w:left w:val="none" w:sz="0" w:space="0" w:color="auto"/>
        <w:bottom w:val="none" w:sz="0" w:space="0" w:color="auto"/>
        <w:right w:val="none" w:sz="0" w:space="0" w:color="auto"/>
      </w:divBdr>
      <w:divsChild>
        <w:div w:id="1332610366">
          <w:marLeft w:val="0"/>
          <w:marRight w:val="0"/>
          <w:marTop w:val="0"/>
          <w:marBottom w:val="0"/>
          <w:divBdr>
            <w:top w:val="none" w:sz="0" w:space="0" w:color="auto"/>
            <w:left w:val="none" w:sz="0" w:space="0" w:color="auto"/>
            <w:bottom w:val="none" w:sz="0" w:space="0" w:color="auto"/>
            <w:right w:val="none" w:sz="0" w:space="0" w:color="auto"/>
          </w:divBdr>
          <w:divsChild>
            <w:div w:id="1038630792">
              <w:marLeft w:val="0"/>
              <w:marRight w:val="0"/>
              <w:marTop w:val="0"/>
              <w:marBottom w:val="0"/>
              <w:divBdr>
                <w:top w:val="none" w:sz="0" w:space="0" w:color="auto"/>
                <w:left w:val="none" w:sz="0" w:space="0" w:color="auto"/>
                <w:bottom w:val="none" w:sz="0" w:space="0" w:color="auto"/>
                <w:right w:val="none" w:sz="0" w:space="0" w:color="auto"/>
              </w:divBdr>
              <w:divsChild>
                <w:div w:id="1394044117">
                  <w:marLeft w:val="0"/>
                  <w:marRight w:val="0"/>
                  <w:marTop w:val="0"/>
                  <w:marBottom w:val="0"/>
                  <w:divBdr>
                    <w:top w:val="none" w:sz="0" w:space="0" w:color="auto"/>
                    <w:left w:val="none" w:sz="0" w:space="0" w:color="auto"/>
                    <w:bottom w:val="none" w:sz="0" w:space="0" w:color="auto"/>
                    <w:right w:val="none" w:sz="0" w:space="0" w:color="auto"/>
                  </w:divBdr>
                  <w:divsChild>
                    <w:div w:id="830753149">
                      <w:marLeft w:val="0"/>
                      <w:marRight w:val="0"/>
                      <w:marTop w:val="0"/>
                      <w:marBottom w:val="0"/>
                      <w:divBdr>
                        <w:top w:val="none" w:sz="0" w:space="0" w:color="auto"/>
                        <w:left w:val="none" w:sz="0" w:space="0" w:color="auto"/>
                        <w:bottom w:val="none" w:sz="0" w:space="0" w:color="auto"/>
                        <w:right w:val="none" w:sz="0" w:space="0" w:color="auto"/>
                      </w:divBdr>
                      <w:divsChild>
                        <w:div w:id="7051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756673">
      <w:bodyDiv w:val="1"/>
      <w:marLeft w:val="0"/>
      <w:marRight w:val="0"/>
      <w:marTop w:val="0"/>
      <w:marBottom w:val="0"/>
      <w:divBdr>
        <w:top w:val="none" w:sz="0" w:space="0" w:color="auto"/>
        <w:left w:val="none" w:sz="0" w:space="0" w:color="auto"/>
        <w:bottom w:val="none" w:sz="0" w:space="0" w:color="auto"/>
        <w:right w:val="none" w:sz="0" w:space="0" w:color="auto"/>
      </w:divBdr>
    </w:div>
    <w:div w:id="677779110">
      <w:bodyDiv w:val="1"/>
      <w:marLeft w:val="0"/>
      <w:marRight w:val="0"/>
      <w:marTop w:val="0"/>
      <w:marBottom w:val="0"/>
      <w:divBdr>
        <w:top w:val="none" w:sz="0" w:space="0" w:color="auto"/>
        <w:left w:val="none" w:sz="0" w:space="0" w:color="auto"/>
        <w:bottom w:val="none" w:sz="0" w:space="0" w:color="auto"/>
        <w:right w:val="none" w:sz="0" w:space="0" w:color="auto"/>
      </w:divBdr>
    </w:div>
    <w:div w:id="679434398">
      <w:bodyDiv w:val="1"/>
      <w:marLeft w:val="0"/>
      <w:marRight w:val="0"/>
      <w:marTop w:val="0"/>
      <w:marBottom w:val="0"/>
      <w:divBdr>
        <w:top w:val="none" w:sz="0" w:space="0" w:color="auto"/>
        <w:left w:val="none" w:sz="0" w:space="0" w:color="auto"/>
        <w:bottom w:val="none" w:sz="0" w:space="0" w:color="auto"/>
        <w:right w:val="none" w:sz="0" w:space="0" w:color="auto"/>
      </w:divBdr>
    </w:div>
    <w:div w:id="684747792">
      <w:bodyDiv w:val="1"/>
      <w:marLeft w:val="0"/>
      <w:marRight w:val="0"/>
      <w:marTop w:val="0"/>
      <w:marBottom w:val="0"/>
      <w:divBdr>
        <w:top w:val="none" w:sz="0" w:space="0" w:color="auto"/>
        <w:left w:val="none" w:sz="0" w:space="0" w:color="auto"/>
        <w:bottom w:val="none" w:sz="0" w:space="0" w:color="auto"/>
        <w:right w:val="none" w:sz="0" w:space="0" w:color="auto"/>
      </w:divBdr>
    </w:div>
    <w:div w:id="690181501">
      <w:bodyDiv w:val="1"/>
      <w:marLeft w:val="0"/>
      <w:marRight w:val="0"/>
      <w:marTop w:val="0"/>
      <w:marBottom w:val="0"/>
      <w:divBdr>
        <w:top w:val="none" w:sz="0" w:space="0" w:color="auto"/>
        <w:left w:val="none" w:sz="0" w:space="0" w:color="auto"/>
        <w:bottom w:val="none" w:sz="0" w:space="0" w:color="auto"/>
        <w:right w:val="none" w:sz="0" w:space="0" w:color="auto"/>
      </w:divBdr>
    </w:div>
    <w:div w:id="710570621">
      <w:bodyDiv w:val="1"/>
      <w:marLeft w:val="0"/>
      <w:marRight w:val="0"/>
      <w:marTop w:val="0"/>
      <w:marBottom w:val="0"/>
      <w:divBdr>
        <w:top w:val="none" w:sz="0" w:space="0" w:color="auto"/>
        <w:left w:val="none" w:sz="0" w:space="0" w:color="auto"/>
        <w:bottom w:val="none" w:sz="0" w:space="0" w:color="auto"/>
        <w:right w:val="none" w:sz="0" w:space="0" w:color="auto"/>
      </w:divBdr>
    </w:div>
    <w:div w:id="724641677">
      <w:bodyDiv w:val="1"/>
      <w:marLeft w:val="0"/>
      <w:marRight w:val="0"/>
      <w:marTop w:val="0"/>
      <w:marBottom w:val="0"/>
      <w:divBdr>
        <w:top w:val="none" w:sz="0" w:space="0" w:color="auto"/>
        <w:left w:val="none" w:sz="0" w:space="0" w:color="auto"/>
        <w:bottom w:val="none" w:sz="0" w:space="0" w:color="auto"/>
        <w:right w:val="none" w:sz="0" w:space="0" w:color="auto"/>
      </w:divBdr>
    </w:div>
    <w:div w:id="731972348">
      <w:bodyDiv w:val="1"/>
      <w:marLeft w:val="0"/>
      <w:marRight w:val="0"/>
      <w:marTop w:val="0"/>
      <w:marBottom w:val="0"/>
      <w:divBdr>
        <w:top w:val="none" w:sz="0" w:space="0" w:color="auto"/>
        <w:left w:val="none" w:sz="0" w:space="0" w:color="auto"/>
        <w:bottom w:val="none" w:sz="0" w:space="0" w:color="auto"/>
        <w:right w:val="none" w:sz="0" w:space="0" w:color="auto"/>
      </w:divBdr>
      <w:divsChild>
        <w:div w:id="1540774214">
          <w:marLeft w:val="0"/>
          <w:marRight w:val="0"/>
          <w:marTop w:val="0"/>
          <w:marBottom w:val="0"/>
          <w:divBdr>
            <w:top w:val="none" w:sz="0" w:space="0" w:color="auto"/>
            <w:left w:val="none" w:sz="0" w:space="0" w:color="auto"/>
            <w:bottom w:val="none" w:sz="0" w:space="0" w:color="auto"/>
            <w:right w:val="none" w:sz="0" w:space="0" w:color="auto"/>
          </w:divBdr>
          <w:divsChild>
            <w:div w:id="1950821047">
              <w:marLeft w:val="0"/>
              <w:marRight w:val="0"/>
              <w:marTop w:val="0"/>
              <w:marBottom w:val="0"/>
              <w:divBdr>
                <w:top w:val="none" w:sz="0" w:space="0" w:color="auto"/>
                <w:left w:val="none" w:sz="0" w:space="0" w:color="auto"/>
                <w:bottom w:val="none" w:sz="0" w:space="0" w:color="auto"/>
                <w:right w:val="none" w:sz="0" w:space="0" w:color="auto"/>
              </w:divBdr>
              <w:divsChild>
                <w:div w:id="1540362334">
                  <w:marLeft w:val="0"/>
                  <w:marRight w:val="0"/>
                  <w:marTop w:val="0"/>
                  <w:marBottom w:val="0"/>
                  <w:divBdr>
                    <w:top w:val="none" w:sz="0" w:space="0" w:color="auto"/>
                    <w:left w:val="none" w:sz="0" w:space="0" w:color="auto"/>
                    <w:bottom w:val="none" w:sz="0" w:space="0" w:color="auto"/>
                    <w:right w:val="none" w:sz="0" w:space="0" w:color="auto"/>
                  </w:divBdr>
                  <w:divsChild>
                    <w:div w:id="1050763243">
                      <w:marLeft w:val="0"/>
                      <w:marRight w:val="0"/>
                      <w:marTop w:val="0"/>
                      <w:marBottom w:val="0"/>
                      <w:divBdr>
                        <w:top w:val="none" w:sz="0" w:space="0" w:color="auto"/>
                        <w:left w:val="none" w:sz="0" w:space="0" w:color="auto"/>
                        <w:bottom w:val="none" w:sz="0" w:space="0" w:color="auto"/>
                        <w:right w:val="none" w:sz="0" w:space="0" w:color="auto"/>
                      </w:divBdr>
                      <w:divsChild>
                        <w:div w:id="11446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05753">
      <w:bodyDiv w:val="1"/>
      <w:marLeft w:val="0"/>
      <w:marRight w:val="0"/>
      <w:marTop w:val="0"/>
      <w:marBottom w:val="0"/>
      <w:divBdr>
        <w:top w:val="none" w:sz="0" w:space="0" w:color="auto"/>
        <w:left w:val="none" w:sz="0" w:space="0" w:color="auto"/>
        <w:bottom w:val="none" w:sz="0" w:space="0" w:color="auto"/>
        <w:right w:val="none" w:sz="0" w:space="0" w:color="auto"/>
      </w:divBdr>
    </w:div>
    <w:div w:id="767695754">
      <w:bodyDiv w:val="1"/>
      <w:marLeft w:val="0"/>
      <w:marRight w:val="0"/>
      <w:marTop w:val="0"/>
      <w:marBottom w:val="0"/>
      <w:divBdr>
        <w:top w:val="none" w:sz="0" w:space="0" w:color="auto"/>
        <w:left w:val="none" w:sz="0" w:space="0" w:color="auto"/>
        <w:bottom w:val="none" w:sz="0" w:space="0" w:color="auto"/>
        <w:right w:val="none" w:sz="0" w:space="0" w:color="auto"/>
      </w:divBdr>
    </w:div>
    <w:div w:id="785200793">
      <w:bodyDiv w:val="1"/>
      <w:marLeft w:val="0"/>
      <w:marRight w:val="0"/>
      <w:marTop w:val="0"/>
      <w:marBottom w:val="0"/>
      <w:divBdr>
        <w:top w:val="none" w:sz="0" w:space="0" w:color="auto"/>
        <w:left w:val="none" w:sz="0" w:space="0" w:color="auto"/>
        <w:bottom w:val="none" w:sz="0" w:space="0" w:color="auto"/>
        <w:right w:val="none" w:sz="0" w:space="0" w:color="auto"/>
      </w:divBdr>
    </w:div>
    <w:div w:id="845025440">
      <w:bodyDiv w:val="1"/>
      <w:marLeft w:val="0"/>
      <w:marRight w:val="0"/>
      <w:marTop w:val="0"/>
      <w:marBottom w:val="0"/>
      <w:divBdr>
        <w:top w:val="none" w:sz="0" w:space="0" w:color="auto"/>
        <w:left w:val="none" w:sz="0" w:space="0" w:color="auto"/>
        <w:bottom w:val="none" w:sz="0" w:space="0" w:color="auto"/>
        <w:right w:val="none" w:sz="0" w:space="0" w:color="auto"/>
      </w:divBdr>
    </w:div>
    <w:div w:id="909118566">
      <w:bodyDiv w:val="1"/>
      <w:marLeft w:val="0"/>
      <w:marRight w:val="0"/>
      <w:marTop w:val="0"/>
      <w:marBottom w:val="0"/>
      <w:divBdr>
        <w:top w:val="none" w:sz="0" w:space="0" w:color="auto"/>
        <w:left w:val="none" w:sz="0" w:space="0" w:color="auto"/>
        <w:bottom w:val="none" w:sz="0" w:space="0" w:color="auto"/>
        <w:right w:val="none" w:sz="0" w:space="0" w:color="auto"/>
      </w:divBdr>
    </w:div>
    <w:div w:id="918758160">
      <w:bodyDiv w:val="1"/>
      <w:marLeft w:val="0"/>
      <w:marRight w:val="0"/>
      <w:marTop w:val="0"/>
      <w:marBottom w:val="0"/>
      <w:divBdr>
        <w:top w:val="none" w:sz="0" w:space="0" w:color="auto"/>
        <w:left w:val="none" w:sz="0" w:space="0" w:color="auto"/>
        <w:bottom w:val="none" w:sz="0" w:space="0" w:color="auto"/>
        <w:right w:val="none" w:sz="0" w:space="0" w:color="auto"/>
      </w:divBdr>
    </w:div>
    <w:div w:id="935403256">
      <w:bodyDiv w:val="1"/>
      <w:marLeft w:val="0"/>
      <w:marRight w:val="0"/>
      <w:marTop w:val="0"/>
      <w:marBottom w:val="0"/>
      <w:divBdr>
        <w:top w:val="none" w:sz="0" w:space="0" w:color="auto"/>
        <w:left w:val="none" w:sz="0" w:space="0" w:color="auto"/>
        <w:bottom w:val="none" w:sz="0" w:space="0" w:color="auto"/>
        <w:right w:val="none" w:sz="0" w:space="0" w:color="auto"/>
      </w:divBdr>
    </w:div>
    <w:div w:id="935869519">
      <w:bodyDiv w:val="1"/>
      <w:marLeft w:val="0"/>
      <w:marRight w:val="0"/>
      <w:marTop w:val="0"/>
      <w:marBottom w:val="0"/>
      <w:divBdr>
        <w:top w:val="none" w:sz="0" w:space="0" w:color="auto"/>
        <w:left w:val="none" w:sz="0" w:space="0" w:color="auto"/>
        <w:bottom w:val="none" w:sz="0" w:space="0" w:color="auto"/>
        <w:right w:val="none" w:sz="0" w:space="0" w:color="auto"/>
      </w:divBdr>
    </w:div>
    <w:div w:id="959528455">
      <w:bodyDiv w:val="1"/>
      <w:marLeft w:val="0"/>
      <w:marRight w:val="0"/>
      <w:marTop w:val="0"/>
      <w:marBottom w:val="0"/>
      <w:divBdr>
        <w:top w:val="none" w:sz="0" w:space="0" w:color="auto"/>
        <w:left w:val="none" w:sz="0" w:space="0" w:color="auto"/>
        <w:bottom w:val="none" w:sz="0" w:space="0" w:color="auto"/>
        <w:right w:val="none" w:sz="0" w:space="0" w:color="auto"/>
      </w:divBdr>
    </w:div>
    <w:div w:id="971865578">
      <w:bodyDiv w:val="1"/>
      <w:marLeft w:val="0"/>
      <w:marRight w:val="0"/>
      <w:marTop w:val="0"/>
      <w:marBottom w:val="0"/>
      <w:divBdr>
        <w:top w:val="none" w:sz="0" w:space="0" w:color="auto"/>
        <w:left w:val="none" w:sz="0" w:space="0" w:color="auto"/>
        <w:bottom w:val="none" w:sz="0" w:space="0" w:color="auto"/>
        <w:right w:val="none" w:sz="0" w:space="0" w:color="auto"/>
      </w:divBdr>
    </w:div>
    <w:div w:id="1000890511">
      <w:bodyDiv w:val="1"/>
      <w:marLeft w:val="0"/>
      <w:marRight w:val="0"/>
      <w:marTop w:val="0"/>
      <w:marBottom w:val="0"/>
      <w:divBdr>
        <w:top w:val="none" w:sz="0" w:space="0" w:color="auto"/>
        <w:left w:val="none" w:sz="0" w:space="0" w:color="auto"/>
        <w:bottom w:val="none" w:sz="0" w:space="0" w:color="auto"/>
        <w:right w:val="none" w:sz="0" w:space="0" w:color="auto"/>
      </w:divBdr>
    </w:div>
    <w:div w:id="1014569916">
      <w:bodyDiv w:val="1"/>
      <w:marLeft w:val="0"/>
      <w:marRight w:val="0"/>
      <w:marTop w:val="0"/>
      <w:marBottom w:val="0"/>
      <w:divBdr>
        <w:top w:val="none" w:sz="0" w:space="0" w:color="auto"/>
        <w:left w:val="none" w:sz="0" w:space="0" w:color="auto"/>
        <w:bottom w:val="none" w:sz="0" w:space="0" w:color="auto"/>
        <w:right w:val="none" w:sz="0" w:space="0" w:color="auto"/>
      </w:divBdr>
    </w:div>
    <w:div w:id="1064791450">
      <w:bodyDiv w:val="1"/>
      <w:marLeft w:val="0"/>
      <w:marRight w:val="0"/>
      <w:marTop w:val="0"/>
      <w:marBottom w:val="0"/>
      <w:divBdr>
        <w:top w:val="none" w:sz="0" w:space="0" w:color="auto"/>
        <w:left w:val="none" w:sz="0" w:space="0" w:color="auto"/>
        <w:bottom w:val="none" w:sz="0" w:space="0" w:color="auto"/>
        <w:right w:val="none" w:sz="0" w:space="0" w:color="auto"/>
      </w:divBdr>
    </w:div>
    <w:div w:id="1146240885">
      <w:bodyDiv w:val="1"/>
      <w:marLeft w:val="0"/>
      <w:marRight w:val="0"/>
      <w:marTop w:val="0"/>
      <w:marBottom w:val="0"/>
      <w:divBdr>
        <w:top w:val="none" w:sz="0" w:space="0" w:color="auto"/>
        <w:left w:val="none" w:sz="0" w:space="0" w:color="auto"/>
        <w:bottom w:val="none" w:sz="0" w:space="0" w:color="auto"/>
        <w:right w:val="none" w:sz="0" w:space="0" w:color="auto"/>
      </w:divBdr>
    </w:div>
    <w:div w:id="1183469775">
      <w:bodyDiv w:val="1"/>
      <w:marLeft w:val="0"/>
      <w:marRight w:val="0"/>
      <w:marTop w:val="0"/>
      <w:marBottom w:val="0"/>
      <w:divBdr>
        <w:top w:val="none" w:sz="0" w:space="0" w:color="auto"/>
        <w:left w:val="none" w:sz="0" w:space="0" w:color="auto"/>
        <w:bottom w:val="none" w:sz="0" w:space="0" w:color="auto"/>
        <w:right w:val="none" w:sz="0" w:space="0" w:color="auto"/>
      </w:divBdr>
    </w:div>
    <w:div w:id="1195845419">
      <w:bodyDiv w:val="1"/>
      <w:marLeft w:val="0"/>
      <w:marRight w:val="0"/>
      <w:marTop w:val="0"/>
      <w:marBottom w:val="0"/>
      <w:divBdr>
        <w:top w:val="none" w:sz="0" w:space="0" w:color="auto"/>
        <w:left w:val="none" w:sz="0" w:space="0" w:color="auto"/>
        <w:bottom w:val="none" w:sz="0" w:space="0" w:color="auto"/>
        <w:right w:val="none" w:sz="0" w:space="0" w:color="auto"/>
      </w:divBdr>
      <w:divsChild>
        <w:div w:id="1206060998">
          <w:marLeft w:val="0"/>
          <w:marRight w:val="0"/>
          <w:marTop w:val="0"/>
          <w:marBottom w:val="0"/>
          <w:divBdr>
            <w:top w:val="none" w:sz="0" w:space="0" w:color="auto"/>
            <w:left w:val="none" w:sz="0" w:space="0" w:color="auto"/>
            <w:bottom w:val="none" w:sz="0" w:space="0" w:color="auto"/>
            <w:right w:val="none" w:sz="0" w:space="0" w:color="auto"/>
          </w:divBdr>
          <w:divsChild>
            <w:div w:id="1755516821">
              <w:marLeft w:val="0"/>
              <w:marRight w:val="0"/>
              <w:marTop w:val="0"/>
              <w:marBottom w:val="0"/>
              <w:divBdr>
                <w:top w:val="none" w:sz="0" w:space="0" w:color="auto"/>
                <w:left w:val="none" w:sz="0" w:space="0" w:color="auto"/>
                <w:bottom w:val="none" w:sz="0" w:space="0" w:color="auto"/>
                <w:right w:val="none" w:sz="0" w:space="0" w:color="auto"/>
              </w:divBdr>
              <w:divsChild>
                <w:div w:id="613441212">
                  <w:marLeft w:val="0"/>
                  <w:marRight w:val="0"/>
                  <w:marTop w:val="0"/>
                  <w:marBottom w:val="0"/>
                  <w:divBdr>
                    <w:top w:val="none" w:sz="0" w:space="0" w:color="auto"/>
                    <w:left w:val="none" w:sz="0" w:space="0" w:color="auto"/>
                    <w:bottom w:val="none" w:sz="0" w:space="0" w:color="auto"/>
                    <w:right w:val="none" w:sz="0" w:space="0" w:color="auto"/>
                  </w:divBdr>
                  <w:divsChild>
                    <w:div w:id="1329869883">
                      <w:marLeft w:val="0"/>
                      <w:marRight w:val="0"/>
                      <w:marTop w:val="0"/>
                      <w:marBottom w:val="0"/>
                      <w:divBdr>
                        <w:top w:val="none" w:sz="0" w:space="0" w:color="auto"/>
                        <w:left w:val="none" w:sz="0" w:space="0" w:color="auto"/>
                        <w:bottom w:val="none" w:sz="0" w:space="0" w:color="auto"/>
                        <w:right w:val="none" w:sz="0" w:space="0" w:color="auto"/>
                      </w:divBdr>
                    </w:div>
                    <w:div w:id="1573199391">
                      <w:marLeft w:val="0"/>
                      <w:marRight w:val="0"/>
                      <w:marTop w:val="0"/>
                      <w:marBottom w:val="0"/>
                      <w:divBdr>
                        <w:top w:val="none" w:sz="0" w:space="0" w:color="auto"/>
                        <w:left w:val="none" w:sz="0" w:space="0" w:color="auto"/>
                        <w:bottom w:val="none" w:sz="0" w:space="0" w:color="auto"/>
                        <w:right w:val="none" w:sz="0" w:space="0" w:color="auto"/>
                      </w:divBdr>
                      <w:divsChild>
                        <w:div w:id="1692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048598">
      <w:bodyDiv w:val="1"/>
      <w:marLeft w:val="0"/>
      <w:marRight w:val="0"/>
      <w:marTop w:val="0"/>
      <w:marBottom w:val="0"/>
      <w:divBdr>
        <w:top w:val="none" w:sz="0" w:space="0" w:color="auto"/>
        <w:left w:val="none" w:sz="0" w:space="0" w:color="auto"/>
        <w:bottom w:val="none" w:sz="0" w:space="0" w:color="auto"/>
        <w:right w:val="none" w:sz="0" w:space="0" w:color="auto"/>
      </w:divBdr>
    </w:div>
    <w:div w:id="1251889988">
      <w:bodyDiv w:val="1"/>
      <w:marLeft w:val="0"/>
      <w:marRight w:val="0"/>
      <w:marTop w:val="0"/>
      <w:marBottom w:val="0"/>
      <w:divBdr>
        <w:top w:val="none" w:sz="0" w:space="0" w:color="auto"/>
        <w:left w:val="none" w:sz="0" w:space="0" w:color="auto"/>
        <w:bottom w:val="none" w:sz="0" w:space="0" w:color="auto"/>
        <w:right w:val="none" w:sz="0" w:space="0" w:color="auto"/>
      </w:divBdr>
    </w:div>
    <w:div w:id="1294292617">
      <w:bodyDiv w:val="1"/>
      <w:marLeft w:val="0"/>
      <w:marRight w:val="0"/>
      <w:marTop w:val="0"/>
      <w:marBottom w:val="0"/>
      <w:divBdr>
        <w:top w:val="none" w:sz="0" w:space="0" w:color="auto"/>
        <w:left w:val="none" w:sz="0" w:space="0" w:color="auto"/>
        <w:bottom w:val="none" w:sz="0" w:space="0" w:color="auto"/>
        <w:right w:val="none" w:sz="0" w:space="0" w:color="auto"/>
      </w:divBdr>
    </w:div>
    <w:div w:id="1307052301">
      <w:bodyDiv w:val="1"/>
      <w:marLeft w:val="0"/>
      <w:marRight w:val="0"/>
      <w:marTop w:val="0"/>
      <w:marBottom w:val="0"/>
      <w:divBdr>
        <w:top w:val="none" w:sz="0" w:space="0" w:color="auto"/>
        <w:left w:val="none" w:sz="0" w:space="0" w:color="auto"/>
        <w:bottom w:val="none" w:sz="0" w:space="0" w:color="auto"/>
        <w:right w:val="none" w:sz="0" w:space="0" w:color="auto"/>
      </w:divBdr>
    </w:div>
    <w:div w:id="1317421547">
      <w:bodyDiv w:val="1"/>
      <w:marLeft w:val="0"/>
      <w:marRight w:val="0"/>
      <w:marTop w:val="0"/>
      <w:marBottom w:val="0"/>
      <w:divBdr>
        <w:top w:val="none" w:sz="0" w:space="0" w:color="auto"/>
        <w:left w:val="none" w:sz="0" w:space="0" w:color="auto"/>
        <w:bottom w:val="none" w:sz="0" w:space="0" w:color="auto"/>
        <w:right w:val="none" w:sz="0" w:space="0" w:color="auto"/>
      </w:divBdr>
    </w:div>
    <w:div w:id="1324048114">
      <w:bodyDiv w:val="1"/>
      <w:marLeft w:val="0"/>
      <w:marRight w:val="0"/>
      <w:marTop w:val="0"/>
      <w:marBottom w:val="0"/>
      <w:divBdr>
        <w:top w:val="none" w:sz="0" w:space="0" w:color="auto"/>
        <w:left w:val="none" w:sz="0" w:space="0" w:color="auto"/>
        <w:bottom w:val="none" w:sz="0" w:space="0" w:color="auto"/>
        <w:right w:val="none" w:sz="0" w:space="0" w:color="auto"/>
      </w:divBdr>
    </w:div>
    <w:div w:id="1357924530">
      <w:bodyDiv w:val="1"/>
      <w:marLeft w:val="0"/>
      <w:marRight w:val="0"/>
      <w:marTop w:val="0"/>
      <w:marBottom w:val="0"/>
      <w:divBdr>
        <w:top w:val="none" w:sz="0" w:space="0" w:color="auto"/>
        <w:left w:val="none" w:sz="0" w:space="0" w:color="auto"/>
        <w:bottom w:val="none" w:sz="0" w:space="0" w:color="auto"/>
        <w:right w:val="none" w:sz="0" w:space="0" w:color="auto"/>
      </w:divBdr>
    </w:div>
    <w:div w:id="1360085080">
      <w:bodyDiv w:val="1"/>
      <w:marLeft w:val="0"/>
      <w:marRight w:val="0"/>
      <w:marTop w:val="0"/>
      <w:marBottom w:val="0"/>
      <w:divBdr>
        <w:top w:val="none" w:sz="0" w:space="0" w:color="auto"/>
        <w:left w:val="none" w:sz="0" w:space="0" w:color="auto"/>
        <w:bottom w:val="none" w:sz="0" w:space="0" w:color="auto"/>
        <w:right w:val="none" w:sz="0" w:space="0" w:color="auto"/>
      </w:divBdr>
      <w:divsChild>
        <w:div w:id="2031636271">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768551114">
                  <w:marLeft w:val="0"/>
                  <w:marRight w:val="0"/>
                  <w:marTop w:val="0"/>
                  <w:marBottom w:val="0"/>
                  <w:divBdr>
                    <w:top w:val="none" w:sz="0" w:space="0" w:color="auto"/>
                    <w:left w:val="none" w:sz="0" w:space="0" w:color="auto"/>
                    <w:bottom w:val="none" w:sz="0" w:space="0" w:color="auto"/>
                    <w:right w:val="none" w:sz="0" w:space="0" w:color="auto"/>
                  </w:divBdr>
                  <w:divsChild>
                    <w:div w:id="34695628">
                      <w:marLeft w:val="0"/>
                      <w:marRight w:val="0"/>
                      <w:marTop w:val="0"/>
                      <w:marBottom w:val="0"/>
                      <w:divBdr>
                        <w:top w:val="none" w:sz="0" w:space="0" w:color="auto"/>
                        <w:left w:val="none" w:sz="0" w:space="0" w:color="auto"/>
                        <w:bottom w:val="none" w:sz="0" w:space="0" w:color="auto"/>
                        <w:right w:val="none" w:sz="0" w:space="0" w:color="auto"/>
                      </w:divBdr>
                      <w:divsChild>
                        <w:div w:id="1866746775">
                          <w:marLeft w:val="0"/>
                          <w:marRight w:val="0"/>
                          <w:marTop w:val="0"/>
                          <w:marBottom w:val="0"/>
                          <w:divBdr>
                            <w:top w:val="none" w:sz="0" w:space="0" w:color="auto"/>
                            <w:left w:val="none" w:sz="0" w:space="0" w:color="auto"/>
                            <w:bottom w:val="none" w:sz="0" w:space="0" w:color="auto"/>
                            <w:right w:val="none" w:sz="0" w:space="0" w:color="auto"/>
                          </w:divBdr>
                        </w:div>
                      </w:divsChild>
                    </w:div>
                    <w:div w:id="966592098">
                      <w:marLeft w:val="0"/>
                      <w:marRight w:val="0"/>
                      <w:marTop w:val="0"/>
                      <w:marBottom w:val="0"/>
                      <w:divBdr>
                        <w:top w:val="none" w:sz="0" w:space="0" w:color="auto"/>
                        <w:left w:val="none" w:sz="0" w:space="0" w:color="auto"/>
                        <w:bottom w:val="none" w:sz="0" w:space="0" w:color="auto"/>
                        <w:right w:val="none" w:sz="0" w:space="0" w:color="auto"/>
                      </w:divBdr>
                      <w:divsChild>
                        <w:div w:id="1872912057">
                          <w:marLeft w:val="0"/>
                          <w:marRight w:val="0"/>
                          <w:marTop w:val="0"/>
                          <w:marBottom w:val="0"/>
                          <w:divBdr>
                            <w:top w:val="none" w:sz="0" w:space="0" w:color="auto"/>
                            <w:left w:val="none" w:sz="0" w:space="0" w:color="auto"/>
                            <w:bottom w:val="none" w:sz="0" w:space="0" w:color="auto"/>
                            <w:right w:val="none" w:sz="0" w:space="0" w:color="auto"/>
                          </w:divBdr>
                          <w:divsChild>
                            <w:div w:id="1088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31945">
      <w:bodyDiv w:val="1"/>
      <w:marLeft w:val="0"/>
      <w:marRight w:val="0"/>
      <w:marTop w:val="0"/>
      <w:marBottom w:val="0"/>
      <w:divBdr>
        <w:top w:val="none" w:sz="0" w:space="0" w:color="auto"/>
        <w:left w:val="none" w:sz="0" w:space="0" w:color="auto"/>
        <w:bottom w:val="none" w:sz="0" w:space="0" w:color="auto"/>
        <w:right w:val="none" w:sz="0" w:space="0" w:color="auto"/>
      </w:divBdr>
    </w:div>
    <w:div w:id="1403410427">
      <w:bodyDiv w:val="1"/>
      <w:marLeft w:val="0"/>
      <w:marRight w:val="0"/>
      <w:marTop w:val="0"/>
      <w:marBottom w:val="0"/>
      <w:divBdr>
        <w:top w:val="none" w:sz="0" w:space="0" w:color="auto"/>
        <w:left w:val="none" w:sz="0" w:space="0" w:color="auto"/>
        <w:bottom w:val="none" w:sz="0" w:space="0" w:color="auto"/>
        <w:right w:val="none" w:sz="0" w:space="0" w:color="auto"/>
      </w:divBdr>
    </w:div>
    <w:div w:id="1426001664">
      <w:bodyDiv w:val="1"/>
      <w:marLeft w:val="0"/>
      <w:marRight w:val="0"/>
      <w:marTop w:val="0"/>
      <w:marBottom w:val="0"/>
      <w:divBdr>
        <w:top w:val="none" w:sz="0" w:space="0" w:color="auto"/>
        <w:left w:val="none" w:sz="0" w:space="0" w:color="auto"/>
        <w:bottom w:val="none" w:sz="0" w:space="0" w:color="auto"/>
        <w:right w:val="none" w:sz="0" w:space="0" w:color="auto"/>
      </w:divBdr>
    </w:div>
    <w:div w:id="1430542885">
      <w:bodyDiv w:val="1"/>
      <w:marLeft w:val="0"/>
      <w:marRight w:val="0"/>
      <w:marTop w:val="0"/>
      <w:marBottom w:val="0"/>
      <w:divBdr>
        <w:top w:val="none" w:sz="0" w:space="0" w:color="auto"/>
        <w:left w:val="none" w:sz="0" w:space="0" w:color="auto"/>
        <w:bottom w:val="none" w:sz="0" w:space="0" w:color="auto"/>
        <w:right w:val="none" w:sz="0" w:space="0" w:color="auto"/>
      </w:divBdr>
    </w:div>
    <w:div w:id="1449742583">
      <w:bodyDiv w:val="1"/>
      <w:marLeft w:val="0"/>
      <w:marRight w:val="0"/>
      <w:marTop w:val="0"/>
      <w:marBottom w:val="0"/>
      <w:divBdr>
        <w:top w:val="none" w:sz="0" w:space="0" w:color="auto"/>
        <w:left w:val="none" w:sz="0" w:space="0" w:color="auto"/>
        <w:bottom w:val="none" w:sz="0" w:space="0" w:color="auto"/>
        <w:right w:val="none" w:sz="0" w:space="0" w:color="auto"/>
      </w:divBdr>
    </w:div>
    <w:div w:id="1463157981">
      <w:bodyDiv w:val="1"/>
      <w:marLeft w:val="0"/>
      <w:marRight w:val="0"/>
      <w:marTop w:val="0"/>
      <w:marBottom w:val="0"/>
      <w:divBdr>
        <w:top w:val="none" w:sz="0" w:space="0" w:color="auto"/>
        <w:left w:val="none" w:sz="0" w:space="0" w:color="auto"/>
        <w:bottom w:val="none" w:sz="0" w:space="0" w:color="auto"/>
        <w:right w:val="none" w:sz="0" w:space="0" w:color="auto"/>
      </w:divBdr>
    </w:div>
    <w:div w:id="1473401578">
      <w:bodyDiv w:val="1"/>
      <w:marLeft w:val="0"/>
      <w:marRight w:val="0"/>
      <w:marTop w:val="0"/>
      <w:marBottom w:val="0"/>
      <w:divBdr>
        <w:top w:val="none" w:sz="0" w:space="0" w:color="auto"/>
        <w:left w:val="none" w:sz="0" w:space="0" w:color="auto"/>
        <w:bottom w:val="none" w:sz="0" w:space="0" w:color="auto"/>
        <w:right w:val="none" w:sz="0" w:space="0" w:color="auto"/>
      </w:divBdr>
    </w:div>
    <w:div w:id="1475680462">
      <w:bodyDiv w:val="1"/>
      <w:marLeft w:val="0"/>
      <w:marRight w:val="0"/>
      <w:marTop w:val="0"/>
      <w:marBottom w:val="0"/>
      <w:divBdr>
        <w:top w:val="none" w:sz="0" w:space="0" w:color="auto"/>
        <w:left w:val="none" w:sz="0" w:space="0" w:color="auto"/>
        <w:bottom w:val="none" w:sz="0" w:space="0" w:color="auto"/>
        <w:right w:val="none" w:sz="0" w:space="0" w:color="auto"/>
      </w:divBdr>
      <w:divsChild>
        <w:div w:id="250048873">
          <w:marLeft w:val="0"/>
          <w:marRight w:val="0"/>
          <w:marTop w:val="0"/>
          <w:marBottom w:val="0"/>
          <w:divBdr>
            <w:top w:val="none" w:sz="0" w:space="0" w:color="auto"/>
            <w:left w:val="none" w:sz="0" w:space="0" w:color="auto"/>
            <w:bottom w:val="none" w:sz="0" w:space="0" w:color="auto"/>
            <w:right w:val="none" w:sz="0" w:space="0" w:color="auto"/>
          </w:divBdr>
          <w:divsChild>
            <w:div w:id="691152233">
              <w:marLeft w:val="0"/>
              <w:marRight w:val="0"/>
              <w:marTop w:val="0"/>
              <w:marBottom w:val="0"/>
              <w:divBdr>
                <w:top w:val="none" w:sz="0" w:space="0" w:color="auto"/>
                <w:left w:val="none" w:sz="0" w:space="0" w:color="auto"/>
                <w:bottom w:val="none" w:sz="0" w:space="0" w:color="auto"/>
                <w:right w:val="none" w:sz="0" w:space="0" w:color="auto"/>
              </w:divBdr>
              <w:divsChild>
                <w:div w:id="1900941711">
                  <w:marLeft w:val="0"/>
                  <w:marRight w:val="0"/>
                  <w:marTop w:val="0"/>
                  <w:marBottom w:val="0"/>
                  <w:divBdr>
                    <w:top w:val="none" w:sz="0" w:space="0" w:color="auto"/>
                    <w:left w:val="none" w:sz="0" w:space="0" w:color="auto"/>
                    <w:bottom w:val="none" w:sz="0" w:space="0" w:color="auto"/>
                    <w:right w:val="none" w:sz="0" w:space="0" w:color="auto"/>
                  </w:divBdr>
                  <w:divsChild>
                    <w:div w:id="148401239">
                      <w:marLeft w:val="0"/>
                      <w:marRight w:val="0"/>
                      <w:marTop w:val="0"/>
                      <w:marBottom w:val="0"/>
                      <w:divBdr>
                        <w:top w:val="none" w:sz="0" w:space="0" w:color="auto"/>
                        <w:left w:val="none" w:sz="0" w:space="0" w:color="auto"/>
                        <w:bottom w:val="none" w:sz="0" w:space="0" w:color="auto"/>
                        <w:right w:val="none" w:sz="0" w:space="0" w:color="auto"/>
                      </w:divBdr>
                      <w:divsChild>
                        <w:div w:id="10468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12272">
      <w:bodyDiv w:val="1"/>
      <w:marLeft w:val="0"/>
      <w:marRight w:val="0"/>
      <w:marTop w:val="0"/>
      <w:marBottom w:val="0"/>
      <w:divBdr>
        <w:top w:val="none" w:sz="0" w:space="0" w:color="auto"/>
        <w:left w:val="none" w:sz="0" w:space="0" w:color="auto"/>
        <w:bottom w:val="none" w:sz="0" w:space="0" w:color="auto"/>
        <w:right w:val="none" w:sz="0" w:space="0" w:color="auto"/>
      </w:divBdr>
    </w:div>
    <w:div w:id="1511486888">
      <w:bodyDiv w:val="1"/>
      <w:marLeft w:val="0"/>
      <w:marRight w:val="0"/>
      <w:marTop w:val="0"/>
      <w:marBottom w:val="0"/>
      <w:divBdr>
        <w:top w:val="none" w:sz="0" w:space="0" w:color="auto"/>
        <w:left w:val="none" w:sz="0" w:space="0" w:color="auto"/>
        <w:bottom w:val="none" w:sz="0" w:space="0" w:color="auto"/>
        <w:right w:val="none" w:sz="0" w:space="0" w:color="auto"/>
      </w:divBdr>
    </w:div>
    <w:div w:id="1517115260">
      <w:bodyDiv w:val="1"/>
      <w:marLeft w:val="0"/>
      <w:marRight w:val="0"/>
      <w:marTop w:val="0"/>
      <w:marBottom w:val="0"/>
      <w:divBdr>
        <w:top w:val="none" w:sz="0" w:space="0" w:color="auto"/>
        <w:left w:val="none" w:sz="0" w:space="0" w:color="auto"/>
        <w:bottom w:val="none" w:sz="0" w:space="0" w:color="auto"/>
        <w:right w:val="none" w:sz="0" w:space="0" w:color="auto"/>
      </w:divBdr>
    </w:div>
    <w:div w:id="1518304643">
      <w:bodyDiv w:val="1"/>
      <w:marLeft w:val="0"/>
      <w:marRight w:val="0"/>
      <w:marTop w:val="0"/>
      <w:marBottom w:val="0"/>
      <w:divBdr>
        <w:top w:val="none" w:sz="0" w:space="0" w:color="auto"/>
        <w:left w:val="none" w:sz="0" w:space="0" w:color="auto"/>
        <w:bottom w:val="none" w:sz="0" w:space="0" w:color="auto"/>
        <w:right w:val="none" w:sz="0" w:space="0" w:color="auto"/>
      </w:divBdr>
      <w:divsChild>
        <w:div w:id="1671712129">
          <w:marLeft w:val="0"/>
          <w:marRight w:val="0"/>
          <w:marTop w:val="0"/>
          <w:marBottom w:val="0"/>
          <w:divBdr>
            <w:top w:val="none" w:sz="0" w:space="0" w:color="auto"/>
            <w:left w:val="none" w:sz="0" w:space="0" w:color="auto"/>
            <w:bottom w:val="none" w:sz="0" w:space="0" w:color="auto"/>
            <w:right w:val="none" w:sz="0" w:space="0" w:color="auto"/>
          </w:divBdr>
          <w:divsChild>
            <w:div w:id="1360088842">
              <w:marLeft w:val="0"/>
              <w:marRight w:val="0"/>
              <w:marTop w:val="0"/>
              <w:marBottom w:val="0"/>
              <w:divBdr>
                <w:top w:val="none" w:sz="0" w:space="0" w:color="auto"/>
                <w:left w:val="none" w:sz="0" w:space="0" w:color="auto"/>
                <w:bottom w:val="none" w:sz="0" w:space="0" w:color="auto"/>
                <w:right w:val="none" w:sz="0" w:space="0" w:color="auto"/>
              </w:divBdr>
              <w:divsChild>
                <w:div w:id="397823147">
                  <w:marLeft w:val="0"/>
                  <w:marRight w:val="0"/>
                  <w:marTop w:val="0"/>
                  <w:marBottom w:val="0"/>
                  <w:divBdr>
                    <w:top w:val="none" w:sz="0" w:space="0" w:color="auto"/>
                    <w:left w:val="none" w:sz="0" w:space="0" w:color="auto"/>
                    <w:bottom w:val="none" w:sz="0" w:space="0" w:color="auto"/>
                    <w:right w:val="none" w:sz="0" w:space="0" w:color="auto"/>
                  </w:divBdr>
                  <w:divsChild>
                    <w:div w:id="1102605630">
                      <w:marLeft w:val="0"/>
                      <w:marRight w:val="0"/>
                      <w:marTop w:val="0"/>
                      <w:marBottom w:val="0"/>
                      <w:divBdr>
                        <w:top w:val="none" w:sz="0" w:space="0" w:color="auto"/>
                        <w:left w:val="none" w:sz="0" w:space="0" w:color="auto"/>
                        <w:bottom w:val="none" w:sz="0" w:space="0" w:color="auto"/>
                        <w:right w:val="none" w:sz="0" w:space="0" w:color="auto"/>
                      </w:divBdr>
                      <w:divsChild>
                        <w:div w:id="3218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037346">
      <w:bodyDiv w:val="1"/>
      <w:marLeft w:val="0"/>
      <w:marRight w:val="0"/>
      <w:marTop w:val="0"/>
      <w:marBottom w:val="0"/>
      <w:divBdr>
        <w:top w:val="none" w:sz="0" w:space="0" w:color="auto"/>
        <w:left w:val="none" w:sz="0" w:space="0" w:color="auto"/>
        <w:bottom w:val="none" w:sz="0" w:space="0" w:color="auto"/>
        <w:right w:val="none" w:sz="0" w:space="0" w:color="auto"/>
      </w:divBdr>
    </w:div>
    <w:div w:id="1547990473">
      <w:bodyDiv w:val="1"/>
      <w:marLeft w:val="0"/>
      <w:marRight w:val="0"/>
      <w:marTop w:val="0"/>
      <w:marBottom w:val="0"/>
      <w:divBdr>
        <w:top w:val="none" w:sz="0" w:space="0" w:color="auto"/>
        <w:left w:val="none" w:sz="0" w:space="0" w:color="auto"/>
        <w:bottom w:val="none" w:sz="0" w:space="0" w:color="auto"/>
        <w:right w:val="none" w:sz="0" w:space="0" w:color="auto"/>
      </w:divBdr>
    </w:div>
    <w:div w:id="1561553950">
      <w:bodyDiv w:val="1"/>
      <w:marLeft w:val="0"/>
      <w:marRight w:val="0"/>
      <w:marTop w:val="0"/>
      <w:marBottom w:val="0"/>
      <w:divBdr>
        <w:top w:val="none" w:sz="0" w:space="0" w:color="auto"/>
        <w:left w:val="none" w:sz="0" w:space="0" w:color="auto"/>
        <w:bottom w:val="none" w:sz="0" w:space="0" w:color="auto"/>
        <w:right w:val="none" w:sz="0" w:space="0" w:color="auto"/>
      </w:divBdr>
      <w:divsChild>
        <w:div w:id="1335186197">
          <w:marLeft w:val="0"/>
          <w:marRight w:val="0"/>
          <w:marTop w:val="0"/>
          <w:marBottom w:val="0"/>
          <w:divBdr>
            <w:top w:val="none" w:sz="0" w:space="0" w:color="auto"/>
            <w:left w:val="none" w:sz="0" w:space="0" w:color="auto"/>
            <w:bottom w:val="none" w:sz="0" w:space="0" w:color="auto"/>
            <w:right w:val="none" w:sz="0" w:space="0" w:color="auto"/>
          </w:divBdr>
          <w:divsChild>
            <w:div w:id="1092044236">
              <w:marLeft w:val="0"/>
              <w:marRight w:val="0"/>
              <w:marTop w:val="0"/>
              <w:marBottom w:val="0"/>
              <w:divBdr>
                <w:top w:val="none" w:sz="0" w:space="0" w:color="auto"/>
                <w:left w:val="none" w:sz="0" w:space="0" w:color="auto"/>
                <w:bottom w:val="none" w:sz="0" w:space="0" w:color="auto"/>
                <w:right w:val="none" w:sz="0" w:space="0" w:color="auto"/>
              </w:divBdr>
              <w:divsChild>
                <w:div w:id="1813328381">
                  <w:marLeft w:val="0"/>
                  <w:marRight w:val="0"/>
                  <w:marTop w:val="0"/>
                  <w:marBottom w:val="0"/>
                  <w:divBdr>
                    <w:top w:val="none" w:sz="0" w:space="0" w:color="auto"/>
                    <w:left w:val="none" w:sz="0" w:space="0" w:color="auto"/>
                    <w:bottom w:val="none" w:sz="0" w:space="0" w:color="auto"/>
                    <w:right w:val="none" w:sz="0" w:space="0" w:color="auto"/>
                  </w:divBdr>
                  <w:divsChild>
                    <w:div w:id="1075476808">
                      <w:marLeft w:val="0"/>
                      <w:marRight w:val="0"/>
                      <w:marTop w:val="0"/>
                      <w:marBottom w:val="0"/>
                      <w:divBdr>
                        <w:top w:val="none" w:sz="0" w:space="0" w:color="auto"/>
                        <w:left w:val="none" w:sz="0" w:space="0" w:color="auto"/>
                        <w:bottom w:val="none" w:sz="0" w:space="0" w:color="auto"/>
                        <w:right w:val="none" w:sz="0" w:space="0" w:color="auto"/>
                      </w:divBdr>
                      <w:divsChild>
                        <w:div w:id="7780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59721">
      <w:bodyDiv w:val="1"/>
      <w:marLeft w:val="0"/>
      <w:marRight w:val="0"/>
      <w:marTop w:val="0"/>
      <w:marBottom w:val="0"/>
      <w:divBdr>
        <w:top w:val="none" w:sz="0" w:space="0" w:color="auto"/>
        <w:left w:val="none" w:sz="0" w:space="0" w:color="auto"/>
        <w:bottom w:val="none" w:sz="0" w:space="0" w:color="auto"/>
        <w:right w:val="none" w:sz="0" w:space="0" w:color="auto"/>
      </w:divBdr>
    </w:div>
    <w:div w:id="1579557265">
      <w:bodyDiv w:val="1"/>
      <w:marLeft w:val="0"/>
      <w:marRight w:val="0"/>
      <w:marTop w:val="0"/>
      <w:marBottom w:val="0"/>
      <w:divBdr>
        <w:top w:val="none" w:sz="0" w:space="0" w:color="auto"/>
        <w:left w:val="none" w:sz="0" w:space="0" w:color="auto"/>
        <w:bottom w:val="none" w:sz="0" w:space="0" w:color="auto"/>
        <w:right w:val="none" w:sz="0" w:space="0" w:color="auto"/>
      </w:divBdr>
    </w:div>
    <w:div w:id="1612202108">
      <w:bodyDiv w:val="1"/>
      <w:marLeft w:val="0"/>
      <w:marRight w:val="0"/>
      <w:marTop w:val="0"/>
      <w:marBottom w:val="0"/>
      <w:divBdr>
        <w:top w:val="none" w:sz="0" w:space="0" w:color="auto"/>
        <w:left w:val="none" w:sz="0" w:space="0" w:color="auto"/>
        <w:bottom w:val="none" w:sz="0" w:space="0" w:color="auto"/>
        <w:right w:val="none" w:sz="0" w:space="0" w:color="auto"/>
      </w:divBdr>
    </w:div>
    <w:div w:id="1625690553">
      <w:bodyDiv w:val="1"/>
      <w:marLeft w:val="0"/>
      <w:marRight w:val="0"/>
      <w:marTop w:val="0"/>
      <w:marBottom w:val="0"/>
      <w:divBdr>
        <w:top w:val="none" w:sz="0" w:space="0" w:color="auto"/>
        <w:left w:val="none" w:sz="0" w:space="0" w:color="auto"/>
        <w:bottom w:val="none" w:sz="0" w:space="0" w:color="auto"/>
        <w:right w:val="none" w:sz="0" w:space="0" w:color="auto"/>
      </w:divBdr>
      <w:divsChild>
        <w:div w:id="749885984">
          <w:marLeft w:val="0"/>
          <w:marRight w:val="0"/>
          <w:marTop w:val="0"/>
          <w:marBottom w:val="0"/>
          <w:divBdr>
            <w:top w:val="none" w:sz="0" w:space="0" w:color="auto"/>
            <w:left w:val="none" w:sz="0" w:space="0" w:color="auto"/>
            <w:bottom w:val="none" w:sz="0" w:space="0" w:color="auto"/>
            <w:right w:val="none" w:sz="0" w:space="0" w:color="auto"/>
          </w:divBdr>
          <w:divsChild>
            <w:div w:id="827209436">
              <w:marLeft w:val="0"/>
              <w:marRight w:val="0"/>
              <w:marTop w:val="0"/>
              <w:marBottom w:val="0"/>
              <w:divBdr>
                <w:top w:val="none" w:sz="0" w:space="0" w:color="auto"/>
                <w:left w:val="none" w:sz="0" w:space="0" w:color="auto"/>
                <w:bottom w:val="none" w:sz="0" w:space="0" w:color="auto"/>
                <w:right w:val="none" w:sz="0" w:space="0" w:color="auto"/>
              </w:divBdr>
              <w:divsChild>
                <w:div w:id="1146896326">
                  <w:marLeft w:val="0"/>
                  <w:marRight w:val="0"/>
                  <w:marTop w:val="0"/>
                  <w:marBottom w:val="0"/>
                  <w:divBdr>
                    <w:top w:val="none" w:sz="0" w:space="0" w:color="auto"/>
                    <w:left w:val="none" w:sz="0" w:space="0" w:color="auto"/>
                    <w:bottom w:val="none" w:sz="0" w:space="0" w:color="auto"/>
                    <w:right w:val="none" w:sz="0" w:space="0" w:color="auto"/>
                  </w:divBdr>
                  <w:divsChild>
                    <w:div w:id="1316031051">
                      <w:marLeft w:val="0"/>
                      <w:marRight w:val="0"/>
                      <w:marTop w:val="0"/>
                      <w:marBottom w:val="0"/>
                      <w:divBdr>
                        <w:top w:val="none" w:sz="0" w:space="0" w:color="auto"/>
                        <w:left w:val="none" w:sz="0" w:space="0" w:color="auto"/>
                        <w:bottom w:val="none" w:sz="0" w:space="0" w:color="auto"/>
                        <w:right w:val="none" w:sz="0" w:space="0" w:color="auto"/>
                      </w:divBdr>
                      <w:divsChild>
                        <w:div w:id="13556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4677">
      <w:bodyDiv w:val="1"/>
      <w:marLeft w:val="0"/>
      <w:marRight w:val="0"/>
      <w:marTop w:val="0"/>
      <w:marBottom w:val="0"/>
      <w:divBdr>
        <w:top w:val="none" w:sz="0" w:space="0" w:color="auto"/>
        <w:left w:val="none" w:sz="0" w:space="0" w:color="auto"/>
        <w:bottom w:val="none" w:sz="0" w:space="0" w:color="auto"/>
        <w:right w:val="none" w:sz="0" w:space="0" w:color="auto"/>
      </w:divBdr>
    </w:div>
    <w:div w:id="1669865499">
      <w:bodyDiv w:val="1"/>
      <w:marLeft w:val="0"/>
      <w:marRight w:val="0"/>
      <w:marTop w:val="0"/>
      <w:marBottom w:val="0"/>
      <w:divBdr>
        <w:top w:val="none" w:sz="0" w:space="0" w:color="auto"/>
        <w:left w:val="none" w:sz="0" w:space="0" w:color="auto"/>
        <w:bottom w:val="none" w:sz="0" w:space="0" w:color="auto"/>
        <w:right w:val="none" w:sz="0" w:space="0" w:color="auto"/>
      </w:divBdr>
    </w:div>
    <w:div w:id="1684622162">
      <w:bodyDiv w:val="1"/>
      <w:marLeft w:val="0"/>
      <w:marRight w:val="0"/>
      <w:marTop w:val="0"/>
      <w:marBottom w:val="0"/>
      <w:divBdr>
        <w:top w:val="none" w:sz="0" w:space="0" w:color="auto"/>
        <w:left w:val="none" w:sz="0" w:space="0" w:color="auto"/>
        <w:bottom w:val="none" w:sz="0" w:space="0" w:color="auto"/>
        <w:right w:val="none" w:sz="0" w:space="0" w:color="auto"/>
      </w:divBdr>
    </w:div>
    <w:div w:id="1686320115">
      <w:bodyDiv w:val="1"/>
      <w:marLeft w:val="0"/>
      <w:marRight w:val="0"/>
      <w:marTop w:val="0"/>
      <w:marBottom w:val="0"/>
      <w:divBdr>
        <w:top w:val="none" w:sz="0" w:space="0" w:color="auto"/>
        <w:left w:val="none" w:sz="0" w:space="0" w:color="auto"/>
        <w:bottom w:val="none" w:sz="0" w:space="0" w:color="auto"/>
        <w:right w:val="none" w:sz="0" w:space="0" w:color="auto"/>
      </w:divBdr>
    </w:div>
    <w:div w:id="1806964826">
      <w:bodyDiv w:val="1"/>
      <w:marLeft w:val="0"/>
      <w:marRight w:val="0"/>
      <w:marTop w:val="0"/>
      <w:marBottom w:val="0"/>
      <w:divBdr>
        <w:top w:val="none" w:sz="0" w:space="0" w:color="auto"/>
        <w:left w:val="none" w:sz="0" w:space="0" w:color="auto"/>
        <w:bottom w:val="none" w:sz="0" w:space="0" w:color="auto"/>
        <w:right w:val="none" w:sz="0" w:space="0" w:color="auto"/>
      </w:divBdr>
    </w:div>
    <w:div w:id="1811286194">
      <w:bodyDiv w:val="1"/>
      <w:marLeft w:val="0"/>
      <w:marRight w:val="0"/>
      <w:marTop w:val="0"/>
      <w:marBottom w:val="0"/>
      <w:divBdr>
        <w:top w:val="none" w:sz="0" w:space="0" w:color="auto"/>
        <w:left w:val="none" w:sz="0" w:space="0" w:color="auto"/>
        <w:bottom w:val="none" w:sz="0" w:space="0" w:color="auto"/>
        <w:right w:val="none" w:sz="0" w:space="0" w:color="auto"/>
      </w:divBdr>
      <w:divsChild>
        <w:div w:id="290594370">
          <w:marLeft w:val="0"/>
          <w:marRight w:val="0"/>
          <w:marTop w:val="0"/>
          <w:marBottom w:val="0"/>
          <w:divBdr>
            <w:top w:val="none" w:sz="0" w:space="0" w:color="auto"/>
            <w:left w:val="none" w:sz="0" w:space="0" w:color="auto"/>
            <w:bottom w:val="none" w:sz="0" w:space="0" w:color="auto"/>
            <w:right w:val="none" w:sz="0" w:space="0" w:color="auto"/>
          </w:divBdr>
          <w:divsChild>
            <w:div w:id="78329342">
              <w:marLeft w:val="0"/>
              <w:marRight w:val="0"/>
              <w:marTop w:val="0"/>
              <w:marBottom w:val="0"/>
              <w:divBdr>
                <w:top w:val="none" w:sz="0" w:space="0" w:color="auto"/>
                <w:left w:val="none" w:sz="0" w:space="0" w:color="auto"/>
                <w:bottom w:val="none" w:sz="0" w:space="0" w:color="auto"/>
                <w:right w:val="none" w:sz="0" w:space="0" w:color="auto"/>
              </w:divBdr>
              <w:divsChild>
                <w:div w:id="210963767">
                  <w:marLeft w:val="0"/>
                  <w:marRight w:val="0"/>
                  <w:marTop w:val="0"/>
                  <w:marBottom w:val="0"/>
                  <w:divBdr>
                    <w:top w:val="none" w:sz="0" w:space="0" w:color="auto"/>
                    <w:left w:val="none" w:sz="0" w:space="0" w:color="auto"/>
                    <w:bottom w:val="none" w:sz="0" w:space="0" w:color="auto"/>
                    <w:right w:val="none" w:sz="0" w:space="0" w:color="auto"/>
                  </w:divBdr>
                  <w:divsChild>
                    <w:div w:id="1634553003">
                      <w:marLeft w:val="0"/>
                      <w:marRight w:val="0"/>
                      <w:marTop w:val="0"/>
                      <w:marBottom w:val="0"/>
                      <w:divBdr>
                        <w:top w:val="none" w:sz="0" w:space="0" w:color="auto"/>
                        <w:left w:val="none" w:sz="0" w:space="0" w:color="auto"/>
                        <w:bottom w:val="none" w:sz="0" w:space="0" w:color="auto"/>
                        <w:right w:val="none" w:sz="0" w:space="0" w:color="auto"/>
                      </w:divBdr>
                      <w:divsChild>
                        <w:div w:id="13384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666136">
      <w:bodyDiv w:val="1"/>
      <w:marLeft w:val="0"/>
      <w:marRight w:val="0"/>
      <w:marTop w:val="0"/>
      <w:marBottom w:val="0"/>
      <w:divBdr>
        <w:top w:val="none" w:sz="0" w:space="0" w:color="auto"/>
        <w:left w:val="none" w:sz="0" w:space="0" w:color="auto"/>
        <w:bottom w:val="none" w:sz="0" w:space="0" w:color="auto"/>
        <w:right w:val="none" w:sz="0" w:space="0" w:color="auto"/>
      </w:divBdr>
    </w:div>
    <w:div w:id="1850749704">
      <w:bodyDiv w:val="1"/>
      <w:marLeft w:val="0"/>
      <w:marRight w:val="0"/>
      <w:marTop w:val="0"/>
      <w:marBottom w:val="0"/>
      <w:divBdr>
        <w:top w:val="none" w:sz="0" w:space="0" w:color="auto"/>
        <w:left w:val="none" w:sz="0" w:space="0" w:color="auto"/>
        <w:bottom w:val="none" w:sz="0" w:space="0" w:color="auto"/>
        <w:right w:val="none" w:sz="0" w:space="0" w:color="auto"/>
      </w:divBdr>
    </w:div>
    <w:div w:id="1868367286">
      <w:bodyDiv w:val="1"/>
      <w:marLeft w:val="0"/>
      <w:marRight w:val="0"/>
      <w:marTop w:val="0"/>
      <w:marBottom w:val="0"/>
      <w:divBdr>
        <w:top w:val="none" w:sz="0" w:space="0" w:color="auto"/>
        <w:left w:val="none" w:sz="0" w:space="0" w:color="auto"/>
        <w:bottom w:val="none" w:sz="0" w:space="0" w:color="auto"/>
        <w:right w:val="none" w:sz="0" w:space="0" w:color="auto"/>
      </w:divBdr>
    </w:div>
    <w:div w:id="1910340297">
      <w:bodyDiv w:val="1"/>
      <w:marLeft w:val="0"/>
      <w:marRight w:val="0"/>
      <w:marTop w:val="0"/>
      <w:marBottom w:val="0"/>
      <w:divBdr>
        <w:top w:val="none" w:sz="0" w:space="0" w:color="auto"/>
        <w:left w:val="none" w:sz="0" w:space="0" w:color="auto"/>
        <w:bottom w:val="none" w:sz="0" w:space="0" w:color="auto"/>
        <w:right w:val="none" w:sz="0" w:space="0" w:color="auto"/>
      </w:divBdr>
    </w:div>
    <w:div w:id="1988321126">
      <w:bodyDiv w:val="1"/>
      <w:marLeft w:val="0"/>
      <w:marRight w:val="0"/>
      <w:marTop w:val="0"/>
      <w:marBottom w:val="0"/>
      <w:divBdr>
        <w:top w:val="none" w:sz="0" w:space="0" w:color="auto"/>
        <w:left w:val="none" w:sz="0" w:space="0" w:color="auto"/>
        <w:bottom w:val="none" w:sz="0" w:space="0" w:color="auto"/>
        <w:right w:val="none" w:sz="0" w:space="0" w:color="auto"/>
      </w:divBdr>
    </w:div>
    <w:div w:id="2013028366">
      <w:bodyDiv w:val="1"/>
      <w:marLeft w:val="0"/>
      <w:marRight w:val="0"/>
      <w:marTop w:val="0"/>
      <w:marBottom w:val="0"/>
      <w:divBdr>
        <w:top w:val="none" w:sz="0" w:space="0" w:color="auto"/>
        <w:left w:val="none" w:sz="0" w:space="0" w:color="auto"/>
        <w:bottom w:val="none" w:sz="0" w:space="0" w:color="auto"/>
        <w:right w:val="none" w:sz="0" w:space="0" w:color="auto"/>
      </w:divBdr>
    </w:div>
    <w:div w:id="2029869766">
      <w:bodyDiv w:val="1"/>
      <w:marLeft w:val="0"/>
      <w:marRight w:val="0"/>
      <w:marTop w:val="0"/>
      <w:marBottom w:val="0"/>
      <w:divBdr>
        <w:top w:val="none" w:sz="0" w:space="0" w:color="auto"/>
        <w:left w:val="none" w:sz="0" w:space="0" w:color="auto"/>
        <w:bottom w:val="none" w:sz="0" w:space="0" w:color="auto"/>
        <w:right w:val="none" w:sz="0" w:space="0" w:color="auto"/>
      </w:divBdr>
    </w:div>
    <w:div w:id="2038191681">
      <w:bodyDiv w:val="1"/>
      <w:marLeft w:val="0"/>
      <w:marRight w:val="0"/>
      <w:marTop w:val="0"/>
      <w:marBottom w:val="0"/>
      <w:divBdr>
        <w:top w:val="none" w:sz="0" w:space="0" w:color="auto"/>
        <w:left w:val="none" w:sz="0" w:space="0" w:color="auto"/>
        <w:bottom w:val="none" w:sz="0" w:space="0" w:color="auto"/>
        <w:right w:val="none" w:sz="0" w:space="0" w:color="auto"/>
      </w:divBdr>
    </w:div>
    <w:div w:id="2047217026">
      <w:bodyDiv w:val="1"/>
      <w:marLeft w:val="0"/>
      <w:marRight w:val="0"/>
      <w:marTop w:val="0"/>
      <w:marBottom w:val="0"/>
      <w:divBdr>
        <w:top w:val="none" w:sz="0" w:space="0" w:color="auto"/>
        <w:left w:val="none" w:sz="0" w:space="0" w:color="auto"/>
        <w:bottom w:val="none" w:sz="0" w:space="0" w:color="auto"/>
        <w:right w:val="none" w:sz="0" w:space="0" w:color="auto"/>
      </w:divBdr>
    </w:div>
    <w:div w:id="2048986417">
      <w:bodyDiv w:val="1"/>
      <w:marLeft w:val="0"/>
      <w:marRight w:val="0"/>
      <w:marTop w:val="0"/>
      <w:marBottom w:val="0"/>
      <w:divBdr>
        <w:top w:val="none" w:sz="0" w:space="0" w:color="auto"/>
        <w:left w:val="none" w:sz="0" w:space="0" w:color="auto"/>
        <w:bottom w:val="none" w:sz="0" w:space="0" w:color="auto"/>
        <w:right w:val="none" w:sz="0" w:space="0" w:color="auto"/>
      </w:divBdr>
    </w:div>
    <w:div w:id="2058816917">
      <w:bodyDiv w:val="1"/>
      <w:marLeft w:val="0"/>
      <w:marRight w:val="0"/>
      <w:marTop w:val="0"/>
      <w:marBottom w:val="0"/>
      <w:divBdr>
        <w:top w:val="none" w:sz="0" w:space="0" w:color="auto"/>
        <w:left w:val="none" w:sz="0" w:space="0" w:color="auto"/>
        <w:bottom w:val="none" w:sz="0" w:space="0" w:color="auto"/>
        <w:right w:val="none" w:sz="0" w:space="0" w:color="auto"/>
      </w:divBdr>
    </w:div>
    <w:div w:id="2073308409">
      <w:bodyDiv w:val="1"/>
      <w:marLeft w:val="0"/>
      <w:marRight w:val="0"/>
      <w:marTop w:val="0"/>
      <w:marBottom w:val="0"/>
      <w:divBdr>
        <w:top w:val="none" w:sz="0" w:space="0" w:color="auto"/>
        <w:left w:val="none" w:sz="0" w:space="0" w:color="auto"/>
        <w:bottom w:val="none" w:sz="0" w:space="0" w:color="auto"/>
        <w:right w:val="none" w:sz="0" w:space="0" w:color="auto"/>
      </w:divBdr>
    </w:div>
    <w:div w:id="2078941945">
      <w:bodyDiv w:val="1"/>
      <w:marLeft w:val="0"/>
      <w:marRight w:val="0"/>
      <w:marTop w:val="0"/>
      <w:marBottom w:val="0"/>
      <w:divBdr>
        <w:top w:val="none" w:sz="0" w:space="0" w:color="auto"/>
        <w:left w:val="none" w:sz="0" w:space="0" w:color="auto"/>
        <w:bottom w:val="none" w:sz="0" w:space="0" w:color="auto"/>
        <w:right w:val="none" w:sz="0" w:space="0" w:color="auto"/>
      </w:divBdr>
    </w:div>
    <w:div w:id="2079982941">
      <w:bodyDiv w:val="1"/>
      <w:marLeft w:val="0"/>
      <w:marRight w:val="0"/>
      <w:marTop w:val="0"/>
      <w:marBottom w:val="0"/>
      <w:divBdr>
        <w:top w:val="none" w:sz="0" w:space="0" w:color="auto"/>
        <w:left w:val="none" w:sz="0" w:space="0" w:color="auto"/>
        <w:bottom w:val="none" w:sz="0" w:space="0" w:color="auto"/>
        <w:right w:val="none" w:sz="0" w:space="0" w:color="auto"/>
      </w:divBdr>
    </w:div>
    <w:div w:id="2080324042">
      <w:bodyDiv w:val="1"/>
      <w:marLeft w:val="0"/>
      <w:marRight w:val="0"/>
      <w:marTop w:val="0"/>
      <w:marBottom w:val="0"/>
      <w:divBdr>
        <w:top w:val="none" w:sz="0" w:space="0" w:color="auto"/>
        <w:left w:val="none" w:sz="0" w:space="0" w:color="auto"/>
        <w:bottom w:val="none" w:sz="0" w:space="0" w:color="auto"/>
        <w:right w:val="none" w:sz="0" w:space="0" w:color="auto"/>
      </w:divBdr>
    </w:div>
    <w:div w:id="2087457688">
      <w:bodyDiv w:val="1"/>
      <w:marLeft w:val="0"/>
      <w:marRight w:val="0"/>
      <w:marTop w:val="0"/>
      <w:marBottom w:val="0"/>
      <w:divBdr>
        <w:top w:val="none" w:sz="0" w:space="0" w:color="auto"/>
        <w:left w:val="none" w:sz="0" w:space="0" w:color="auto"/>
        <w:bottom w:val="none" w:sz="0" w:space="0" w:color="auto"/>
        <w:right w:val="none" w:sz="0" w:space="0" w:color="auto"/>
      </w:divBdr>
    </w:div>
    <w:div w:id="2128698969">
      <w:bodyDiv w:val="1"/>
      <w:marLeft w:val="0"/>
      <w:marRight w:val="0"/>
      <w:marTop w:val="0"/>
      <w:marBottom w:val="0"/>
      <w:divBdr>
        <w:top w:val="none" w:sz="0" w:space="0" w:color="auto"/>
        <w:left w:val="none" w:sz="0" w:space="0" w:color="auto"/>
        <w:bottom w:val="none" w:sz="0" w:space="0" w:color="auto"/>
        <w:right w:val="none" w:sz="0" w:space="0" w:color="auto"/>
      </w:divBdr>
    </w:div>
    <w:div w:id="21360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cordma.gov/Pages/ConcordMA_Assessor/FY18INFO"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cordma.gov/Pages/ConcordMA_Assessor/FY18INFO"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partridge\Documents\CD%20FY%202018\101%20histegram.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partridge\Documents\CD%20FY%202018\Condo%20Values%20Hista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pPr>
        <a:solidFill>
          <a:srgbClr val="002060"/>
        </a:solidFill>
      </c:spPr>
    </c:sideWall>
    <c:backWall>
      <c:thickness val="0"/>
      <c:spPr>
        <a:solidFill>
          <a:schemeClr val="tx1">
            <a:lumMod val="65000"/>
            <a:lumOff val="35000"/>
          </a:schemeClr>
        </a:solidFill>
      </c:spPr>
    </c:backWall>
    <c:plotArea>
      <c:layout>
        <c:manualLayout>
          <c:layoutTarget val="inner"/>
          <c:xMode val="edge"/>
          <c:yMode val="edge"/>
          <c:x val="0.10015507436570428"/>
          <c:y val="5.1400554097404488E-2"/>
          <c:w val="0.68399890638670169"/>
          <c:h val="0.70986475648877223"/>
        </c:manualLayout>
      </c:layout>
      <c:bar3DChart>
        <c:barDir val="col"/>
        <c:grouping val="clustered"/>
        <c:varyColors val="0"/>
        <c:ser>
          <c:idx val="0"/>
          <c:order val="0"/>
          <c:spPr>
            <a:solidFill>
              <a:schemeClr val="accent2"/>
            </a:solidFill>
          </c:spPr>
          <c:invertIfNegative val="0"/>
          <c:dPt>
            <c:idx val="1"/>
            <c:invertIfNegative val="0"/>
            <c:bubble3D val="0"/>
            <c:spPr>
              <a:solidFill>
                <a:srgbClr val="00B050"/>
              </a:solidFill>
            </c:spPr>
          </c:dPt>
          <c:dPt>
            <c:idx val="2"/>
            <c:invertIfNegative val="0"/>
            <c:bubble3D val="0"/>
            <c:spPr>
              <a:solidFill>
                <a:srgbClr val="7030A0"/>
              </a:solidFill>
            </c:spPr>
          </c:dPt>
          <c:dPt>
            <c:idx val="3"/>
            <c:invertIfNegative val="0"/>
            <c:bubble3D val="0"/>
            <c:spPr>
              <a:solidFill>
                <a:srgbClr val="0070C0"/>
              </a:solidFill>
            </c:spPr>
          </c:dPt>
          <c:dPt>
            <c:idx val="4"/>
            <c:invertIfNegative val="0"/>
            <c:bubble3D val="0"/>
            <c:spPr>
              <a:solidFill>
                <a:schemeClr val="accent6">
                  <a:lumMod val="75000"/>
                </a:schemeClr>
              </a:solidFill>
            </c:spPr>
          </c:dPt>
          <c:dPt>
            <c:idx val="5"/>
            <c:invertIfNegative val="0"/>
            <c:bubble3D val="0"/>
            <c:spPr>
              <a:solidFill>
                <a:schemeClr val="tx2">
                  <a:lumMod val="60000"/>
                  <a:lumOff val="40000"/>
                </a:schemeClr>
              </a:solidFill>
            </c:spPr>
          </c:dPt>
          <c:dPt>
            <c:idx val="6"/>
            <c:invertIfNegative val="0"/>
            <c:bubble3D val="0"/>
            <c:spPr>
              <a:solidFill>
                <a:schemeClr val="accent2">
                  <a:lumMod val="75000"/>
                </a:schemeClr>
              </a:solidFill>
            </c:spPr>
          </c:dPt>
          <c:dPt>
            <c:idx val="7"/>
            <c:invertIfNegative val="0"/>
            <c:bubble3D val="0"/>
            <c:spPr>
              <a:solidFill>
                <a:schemeClr val="accent3">
                  <a:lumMod val="60000"/>
                  <a:lumOff val="40000"/>
                </a:schemeClr>
              </a:solidFill>
            </c:spPr>
          </c:dPt>
          <c:dPt>
            <c:idx val="8"/>
            <c:invertIfNegative val="0"/>
            <c:bubble3D val="0"/>
            <c:spPr>
              <a:solidFill>
                <a:schemeClr val="accent4">
                  <a:lumMod val="75000"/>
                </a:schemeClr>
              </a:solidFill>
            </c:spPr>
          </c:dPt>
          <c:dPt>
            <c:idx val="9"/>
            <c:invertIfNegative val="0"/>
            <c:bubble3D val="0"/>
            <c:spPr>
              <a:solidFill>
                <a:srgbClr val="00B0F0"/>
              </a:solidFill>
            </c:spPr>
          </c:dPt>
          <c:dPt>
            <c:idx val="10"/>
            <c:invertIfNegative val="0"/>
            <c:bubble3D val="0"/>
            <c:spPr>
              <a:solidFill>
                <a:srgbClr val="FFC000"/>
              </a:solidFill>
            </c:spPr>
          </c:dPt>
          <c:dPt>
            <c:idx val="11"/>
            <c:invertIfNegative val="0"/>
            <c:bubble3D val="0"/>
            <c:spPr>
              <a:solidFill>
                <a:schemeClr val="accent5">
                  <a:lumMod val="60000"/>
                  <a:lumOff val="40000"/>
                </a:schemeClr>
              </a:solidFill>
            </c:spPr>
          </c:dPt>
          <c:dPt>
            <c:idx val="13"/>
            <c:invertIfNegative val="0"/>
            <c:bubble3D val="0"/>
            <c:spPr>
              <a:solidFill>
                <a:schemeClr val="bg1">
                  <a:lumMod val="85000"/>
                </a:schemeClr>
              </a:solidFill>
            </c:spPr>
          </c:dPt>
          <c:cat>
            <c:strRef>
              <c:f>'101 histegram'!$K$6:$K$19</c:f>
              <c:strCache>
                <c:ptCount val="14"/>
                <c:pt idx="0">
                  <c:v>&lt;300K</c:v>
                </c:pt>
                <c:pt idx="1">
                  <c:v>300 - 500K</c:v>
                </c:pt>
                <c:pt idx="2">
                  <c:v>500 - 700K</c:v>
                </c:pt>
                <c:pt idx="3">
                  <c:v>700 - 900K</c:v>
                </c:pt>
                <c:pt idx="4">
                  <c:v>900 -1.1M</c:v>
                </c:pt>
                <c:pt idx="5">
                  <c:v>1.1 - 1.3M</c:v>
                </c:pt>
                <c:pt idx="6">
                  <c:v>1.3 - 1.5 M</c:v>
                </c:pt>
                <c:pt idx="7">
                  <c:v>1.5 - 1.7M</c:v>
                </c:pt>
                <c:pt idx="8">
                  <c:v>1.7 - 2.0M</c:v>
                </c:pt>
                <c:pt idx="9">
                  <c:v>2.0 - 2.5M</c:v>
                </c:pt>
                <c:pt idx="10">
                  <c:v>2.5 - 3.0 M</c:v>
                </c:pt>
                <c:pt idx="11">
                  <c:v>3.0 - 4.0 M</c:v>
                </c:pt>
                <c:pt idx="12">
                  <c:v>4.0 - 5.0 M</c:v>
                </c:pt>
                <c:pt idx="13">
                  <c:v>&gt;5.0M</c:v>
                </c:pt>
              </c:strCache>
            </c:strRef>
          </c:cat>
          <c:val>
            <c:numRef>
              <c:f>'101 histegram'!$L$6:$L$19</c:f>
              <c:numCache>
                <c:formatCode>General</c:formatCode>
                <c:ptCount val="14"/>
                <c:pt idx="0">
                  <c:v>5</c:v>
                </c:pt>
                <c:pt idx="1">
                  <c:v>153</c:v>
                </c:pt>
                <c:pt idx="2">
                  <c:v>1246</c:v>
                </c:pt>
                <c:pt idx="3">
                  <c:v>1191</c:v>
                </c:pt>
                <c:pt idx="4">
                  <c:v>716</c:v>
                </c:pt>
                <c:pt idx="5">
                  <c:v>381</c:v>
                </c:pt>
                <c:pt idx="6">
                  <c:v>276</c:v>
                </c:pt>
                <c:pt idx="7">
                  <c:v>178</c:v>
                </c:pt>
                <c:pt idx="8">
                  <c:v>172</c:v>
                </c:pt>
                <c:pt idx="9">
                  <c:v>137</c:v>
                </c:pt>
                <c:pt idx="10">
                  <c:v>70</c:v>
                </c:pt>
                <c:pt idx="11">
                  <c:v>45</c:v>
                </c:pt>
                <c:pt idx="12">
                  <c:v>17</c:v>
                </c:pt>
                <c:pt idx="13">
                  <c:v>2</c:v>
                </c:pt>
              </c:numCache>
            </c:numRef>
          </c:val>
        </c:ser>
        <c:dLbls>
          <c:showLegendKey val="0"/>
          <c:showVal val="0"/>
          <c:showCatName val="0"/>
          <c:showSerName val="0"/>
          <c:showPercent val="0"/>
          <c:showBubbleSize val="0"/>
        </c:dLbls>
        <c:gapWidth val="150"/>
        <c:shape val="box"/>
        <c:axId val="122782848"/>
        <c:axId val="122784384"/>
        <c:axId val="0"/>
      </c:bar3DChart>
      <c:catAx>
        <c:axId val="122782848"/>
        <c:scaling>
          <c:orientation val="minMax"/>
        </c:scaling>
        <c:delete val="1"/>
        <c:axPos val="b"/>
        <c:majorTickMark val="out"/>
        <c:minorTickMark val="none"/>
        <c:tickLblPos val="nextTo"/>
        <c:crossAx val="122784384"/>
        <c:crosses val="autoZero"/>
        <c:auto val="1"/>
        <c:lblAlgn val="ctr"/>
        <c:lblOffset val="100"/>
        <c:noMultiLvlLbl val="0"/>
      </c:catAx>
      <c:valAx>
        <c:axId val="122784384"/>
        <c:scaling>
          <c:orientation val="minMax"/>
        </c:scaling>
        <c:delete val="0"/>
        <c:axPos val="l"/>
        <c:majorGridlines/>
        <c:numFmt formatCode="General" sourceLinked="1"/>
        <c:majorTickMark val="out"/>
        <c:minorTickMark val="none"/>
        <c:tickLblPos val="nextTo"/>
        <c:crossAx val="1227828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autoTitleDeleted val="0"/>
    <c:plotArea>
      <c:layout>
        <c:manualLayout>
          <c:layoutTarget val="inner"/>
          <c:xMode val="edge"/>
          <c:yMode val="edge"/>
          <c:x val="7.2182852143482065E-2"/>
          <c:y val="5.8821989717038795E-2"/>
          <c:w val="0.88337270341207352"/>
          <c:h val="0.77142890015460397"/>
        </c:manualLayout>
      </c:layout>
      <c:barChart>
        <c:barDir val="col"/>
        <c:grouping val="clustered"/>
        <c:varyColors val="1"/>
        <c:ser>
          <c:idx val="0"/>
          <c:order val="0"/>
          <c:invertIfNegative val="0"/>
          <c:dPt>
            <c:idx val="0"/>
            <c:invertIfNegative val="0"/>
            <c:bubble3D val="0"/>
            <c:spPr>
              <a:solidFill>
                <a:srgbClr val="993366"/>
              </a:solidFill>
            </c:spPr>
          </c:dPt>
          <c:dPt>
            <c:idx val="1"/>
            <c:invertIfNegative val="0"/>
            <c:bubble3D val="0"/>
            <c:spPr>
              <a:solidFill>
                <a:schemeClr val="tx2">
                  <a:lumMod val="75000"/>
                </a:schemeClr>
              </a:solidFill>
            </c:spPr>
          </c:dPt>
          <c:dPt>
            <c:idx val="2"/>
            <c:invertIfNegative val="0"/>
            <c:bubble3D val="0"/>
            <c:spPr>
              <a:solidFill>
                <a:srgbClr val="FFC000"/>
              </a:solidFill>
            </c:spPr>
          </c:dPt>
          <c:dPt>
            <c:idx val="3"/>
            <c:invertIfNegative val="0"/>
            <c:bubble3D val="0"/>
            <c:spPr>
              <a:solidFill>
                <a:srgbClr val="FF0000"/>
              </a:solidFill>
            </c:spPr>
          </c:dPt>
          <c:dPt>
            <c:idx val="4"/>
            <c:invertIfNegative val="0"/>
            <c:bubble3D val="0"/>
            <c:spPr>
              <a:solidFill>
                <a:schemeClr val="bg2">
                  <a:lumMod val="50000"/>
                </a:schemeClr>
              </a:solidFill>
            </c:spPr>
          </c:dPt>
          <c:dPt>
            <c:idx val="5"/>
            <c:invertIfNegative val="0"/>
            <c:bubble3D val="0"/>
            <c:spPr>
              <a:solidFill>
                <a:schemeClr val="accent6">
                  <a:lumMod val="75000"/>
                </a:schemeClr>
              </a:solidFill>
            </c:spPr>
          </c:dPt>
          <c:dPt>
            <c:idx val="6"/>
            <c:invertIfNegative val="0"/>
            <c:bubble3D val="0"/>
            <c:spPr>
              <a:solidFill>
                <a:srgbClr val="00B050"/>
              </a:solidFill>
            </c:spPr>
          </c:dPt>
          <c:dPt>
            <c:idx val="7"/>
            <c:invertIfNegative val="0"/>
            <c:bubble3D val="0"/>
            <c:spPr>
              <a:solidFill>
                <a:schemeClr val="accent4">
                  <a:lumMod val="75000"/>
                </a:schemeClr>
              </a:solidFill>
            </c:spPr>
          </c:dPt>
          <c:dPt>
            <c:idx val="8"/>
            <c:invertIfNegative val="0"/>
            <c:bubble3D val="0"/>
            <c:spPr>
              <a:solidFill>
                <a:schemeClr val="tx1">
                  <a:lumMod val="50000"/>
                  <a:lumOff val="50000"/>
                </a:schemeClr>
              </a:solidFill>
            </c:spPr>
          </c:dPt>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dLbl>
              <c:idx val="5"/>
              <c:showLegendKey val="0"/>
              <c:showVal val="1"/>
              <c:showCatName val="0"/>
              <c:showSerName val="0"/>
              <c:showPercent val="0"/>
              <c:showBubbleSize val="0"/>
            </c:dLbl>
            <c:dLbl>
              <c:idx val="6"/>
              <c:showLegendKey val="0"/>
              <c:showVal val="1"/>
              <c:showCatName val="0"/>
              <c:showSerName val="0"/>
              <c:showPercent val="0"/>
              <c:showBubbleSize val="0"/>
            </c:dLbl>
            <c:dLbl>
              <c:idx val="7"/>
              <c:showLegendKey val="0"/>
              <c:showVal val="1"/>
              <c:showCatName val="0"/>
              <c:showSerName val="0"/>
              <c:showPercent val="0"/>
              <c:showBubbleSize val="0"/>
            </c:dLbl>
            <c:dLbl>
              <c:idx val="8"/>
              <c:showLegendKey val="0"/>
              <c:showVal val="1"/>
              <c:showCatName val="0"/>
              <c:showSerName val="0"/>
              <c:showPercent val="0"/>
              <c:showBubbleSize val="0"/>
            </c:dLbl>
            <c:showLegendKey val="0"/>
            <c:showVal val="0"/>
            <c:showCatName val="0"/>
            <c:showSerName val="0"/>
            <c:showPercent val="0"/>
            <c:showBubbleSize val="0"/>
          </c:dLbls>
          <c:cat>
            <c:strRef>
              <c:f>'Condo Values Histagram'!$J$8:$J$16</c:f>
              <c:strCache>
                <c:ptCount val="9"/>
                <c:pt idx="0">
                  <c:v>100-200K</c:v>
                </c:pt>
                <c:pt idx="1">
                  <c:v>200-300K</c:v>
                </c:pt>
                <c:pt idx="2">
                  <c:v>300-400K</c:v>
                </c:pt>
                <c:pt idx="3">
                  <c:v>400-500K</c:v>
                </c:pt>
                <c:pt idx="4">
                  <c:v>500-600K</c:v>
                </c:pt>
                <c:pt idx="5">
                  <c:v>600-800K</c:v>
                </c:pt>
                <c:pt idx="6">
                  <c:v>800-1M</c:v>
                </c:pt>
                <c:pt idx="7">
                  <c:v>1M - 1.5M</c:v>
                </c:pt>
                <c:pt idx="8">
                  <c:v>&gt; 1.5M</c:v>
                </c:pt>
              </c:strCache>
            </c:strRef>
          </c:cat>
          <c:val>
            <c:numRef>
              <c:f>'Condo Values Histagram'!$K$8:$K$16</c:f>
              <c:numCache>
                <c:formatCode>General</c:formatCode>
                <c:ptCount val="9"/>
                <c:pt idx="0">
                  <c:v>38</c:v>
                </c:pt>
                <c:pt idx="1">
                  <c:v>93</c:v>
                </c:pt>
                <c:pt idx="2">
                  <c:v>231</c:v>
                </c:pt>
                <c:pt idx="3">
                  <c:v>130</c:v>
                </c:pt>
                <c:pt idx="4">
                  <c:v>95</c:v>
                </c:pt>
                <c:pt idx="5">
                  <c:v>111</c:v>
                </c:pt>
                <c:pt idx="6">
                  <c:v>66</c:v>
                </c:pt>
                <c:pt idx="7">
                  <c:v>25</c:v>
                </c:pt>
                <c:pt idx="8">
                  <c:v>4</c:v>
                </c:pt>
              </c:numCache>
            </c:numRef>
          </c:val>
        </c:ser>
        <c:dLbls>
          <c:showLegendKey val="0"/>
          <c:showVal val="0"/>
          <c:showCatName val="0"/>
          <c:showSerName val="0"/>
          <c:showPercent val="0"/>
          <c:showBubbleSize val="0"/>
        </c:dLbls>
        <c:gapWidth val="150"/>
        <c:axId val="122800768"/>
        <c:axId val="122806656"/>
      </c:barChart>
      <c:catAx>
        <c:axId val="122800768"/>
        <c:scaling>
          <c:orientation val="minMax"/>
        </c:scaling>
        <c:delete val="0"/>
        <c:axPos val="b"/>
        <c:majorTickMark val="out"/>
        <c:minorTickMark val="none"/>
        <c:tickLblPos val="nextTo"/>
        <c:spPr>
          <a:noFill/>
        </c:spPr>
        <c:crossAx val="122806656"/>
        <c:crosses val="autoZero"/>
        <c:auto val="1"/>
        <c:lblAlgn val="ctr"/>
        <c:lblOffset val="100"/>
        <c:noMultiLvlLbl val="0"/>
      </c:catAx>
      <c:valAx>
        <c:axId val="122806656"/>
        <c:scaling>
          <c:orientation val="minMax"/>
        </c:scaling>
        <c:delete val="0"/>
        <c:axPos val="l"/>
        <c:majorGridlines/>
        <c:numFmt formatCode="General" sourceLinked="1"/>
        <c:majorTickMark val="out"/>
        <c:minorTickMark val="none"/>
        <c:tickLblPos val="nextTo"/>
        <c:crossAx val="1228007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3E6F4-D786-4CDF-8507-E313B357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TAX  RATE  ANALYSIS</vt:lpstr>
    </vt:vector>
  </TitlesOfParts>
  <Company>Town of Concord</Company>
  <LinksUpToDate>false</LinksUpToDate>
  <CharactersWithSpaces>27176</CharactersWithSpaces>
  <SharedDoc>false</SharedDoc>
  <HLinks>
    <vt:vector size="12" baseType="variant">
      <vt:variant>
        <vt:i4>3145733</vt:i4>
      </vt:variant>
      <vt:variant>
        <vt:i4>3</vt:i4>
      </vt:variant>
      <vt:variant>
        <vt:i4>0</vt:i4>
      </vt:variant>
      <vt:variant>
        <vt:i4>5</vt:i4>
      </vt:variant>
      <vt:variant>
        <vt:lpwstr>http://www.concordma.gov/Pages/ConcordMA_Assessor/FY17INFO</vt:lpwstr>
      </vt:variant>
      <vt:variant>
        <vt:lpwstr/>
      </vt:variant>
      <vt:variant>
        <vt:i4>3145733</vt:i4>
      </vt:variant>
      <vt:variant>
        <vt:i4>0</vt:i4>
      </vt:variant>
      <vt:variant>
        <vt:i4>0</vt:i4>
      </vt:variant>
      <vt:variant>
        <vt:i4>5</vt:i4>
      </vt:variant>
      <vt:variant>
        <vt:lpwstr>http://www.concordma.gov/Pages/ConcordMA_Assessor/FY17INFO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RATE  ANALYSIS</dc:title>
  <dc:creator>JCrimins</dc:creator>
  <cp:lastModifiedBy>Carolyn Dee</cp:lastModifiedBy>
  <cp:revision>2</cp:revision>
  <cp:lastPrinted>2016-11-14T22:46:00Z</cp:lastPrinted>
  <dcterms:created xsi:type="dcterms:W3CDTF">2017-11-13T21:05:00Z</dcterms:created>
  <dcterms:modified xsi:type="dcterms:W3CDTF">2017-11-13T21:05:00Z</dcterms:modified>
</cp:coreProperties>
</file>